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65A08" w:rsidP="001239F0">
      <w:pPr>
        <w:jc w:val="center"/>
        <w:rPr>
          <w:rFonts w:ascii="Times New Roman" w:hAnsi="Times New Roman" w:cs="Times New Roman"/>
          <w:sz w:val="24"/>
          <w:szCs w:val="24"/>
        </w:rPr>
      </w:pPr>
    </w:p>
    <w:p w:rsidR="00C65A08" w:rsidP="001239F0">
      <w:pPr>
        <w:jc w:val="center"/>
        <w:rPr>
          <w:rFonts w:ascii="Times New Roman" w:hAnsi="Times New Roman" w:cs="Times New Roman"/>
          <w:sz w:val="24"/>
          <w:szCs w:val="24"/>
        </w:rPr>
      </w:pPr>
    </w:p>
    <w:p w:rsidR="00C65A08" w:rsidP="001239F0">
      <w:pPr>
        <w:jc w:val="center"/>
        <w:rPr>
          <w:rFonts w:ascii="Times New Roman" w:hAnsi="Times New Roman" w:cs="Times New Roman"/>
          <w:sz w:val="24"/>
          <w:szCs w:val="24"/>
        </w:rPr>
      </w:pPr>
    </w:p>
    <w:p w:rsidR="00C65A08" w:rsidP="001239F0">
      <w:pPr>
        <w:jc w:val="center"/>
        <w:rPr>
          <w:rFonts w:ascii="Times New Roman" w:hAnsi="Times New Roman" w:cs="Times New Roman"/>
          <w:sz w:val="24"/>
          <w:szCs w:val="24"/>
        </w:rPr>
      </w:pPr>
    </w:p>
    <w:p w:rsidR="00C65A08" w:rsidP="001239F0">
      <w:pPr>
        <w:jc w:val="center"/>
        <w:rPr>
          <w:rFonts w:ascii="Times New Roman" w:hAnsi="Times New Roman" w:cs="Times New Roman"/>
          <w:sz w:val="24"/>
          <w:szCs w:val="24"/>
        </w:rPr>
      </w:pPr>
    </w:p>
    <w:p w:rsidR="00C65A08" w:rsidP="001239F0">
      <w:pPr>
        <w:jc w:val="center"/>
        <w:rPr>
          <w:rFonts w:ascii="Times New Roman" w:hAnsi="Times New Roman" w:cs="Times New Roman"/>
          <w:sz w:val="24"/>
          <w:szCs w:val="24"/>
        </w:rPr>
      </w:pPr>
    </w:p>
    <w:p w:rsidR="00C65A08" w:rsidP="001239F0">
      <w:pPr>
        <w:jc w:val="center"/>
        <w:rPr>
          <w:rFonts w:ascii="Times New Roman" w:hAnsi="Times New Roman" w:cs="Times New Roman"/>
          <w:sz w:val="24"/>
          <w:szCs w:val="24"/>
        </w:rPr>
      </w:pPr>
    </w:p>
    <w:p w:rsidR="00C65A08" w:rsidP="001239F0">
      <w:pPr>
        <w:jc w:val="center"/>
        <w:rPr>
          <w:rFonts w:ascii="Times New Roman" w:hAnsi="Times New Roman" w:cs="Times New Roman"/>
          <w:sz w:val="24"/>
          <w:szCs w:val="24"/>
        </w:rPr>
      </w:pPr>
    </w:p>
    <w:p w:rsidR="00C65A08" w:rsidP="001239F0">
      <w:pPr>
        <w:jc w:val="center"/>
        <w:rPr>
          <w:rFonts w:ascii="Times New Roman" w:hAnsi="Times New Roman" w:cs="Times New Roman"/>
          <w:sz w:val="24"/>
          <w:szCs w:val="24"/>
        </w:rPr>
      </w:pPr>
    </w:p>
    <w:p w:rsidR="001239F0" w:rsidRPr="00C65A08" w:rsidP="00C65A08">
      <w:pPr>
        <w:jc w:val="center"/>
        <w:rPr>
          <w:rFonts w:ascii="Times New Roman" w:hAnsi="Times New Roman" w:cs="Times New Roman"/>
          <w:sz w:val="24"/>
          <w:szCs w:val="24"/>
        </w:rPr>
      </w:pPr>
      <w:r w:rsidRPr="00C65A08">
        <w:rPr>
          <w:rFonts w:ascii="Times New Roman" w:hAnsi="Times New Roman" w:cs="Times New Roman"/>
          <w:sz w:val="24"/>
          <w:szCs w:val="24"/>
        </w:rPr>
        <w:t>Final Draft for Data Analysis:</w:t>
      </w:r>
    </w:p>
    <w:p w:rsidR="001239F0" w:rsidRPr="00C65A08" w:rsidP="00C65A08">
      <w:pPr>
        <w:spacing w:line="480" w:lineRule="auto"/>
        <w:jc w:val="center"/>
        <w:rPr>
          <w:rFonts w:ascii="Times New Roman" w:eastAsia="Times New Roman" w:hAnsi="Times New Roman" w:cs="Times New Roman"/>
          <w:sz w:val="24"/>
          <w:szCs w:val="24"/>
        </w:rPr>
      </w:pPr>
      <w:r w:rsidRPr="00C65A08">
        <w:rPr>
          <w:rFonts w:ascii="Times New Roman" w:eastAsia="Times New Roman" w:hAnsi="Times New Roman" w:cs="Times New Roman"/>
          <w:sz w:val="24"/>
          <w:szCs w:val="24"/>
        </w:rPr>
        <w:t>Name</w:t>
      </w:r>
    </w:p>
    <w:p w:rsidR="001239F0" w:rsidRPr="00C65A08" w:rsidP="00C65A08">
      <w:pPr>
        <w:spacing w:line="480" w:lineRule="auto"/>
        <w:jc w:val="center"/>
        <w:rPr>
          <w:rFonts w:ascii="Times New Roman" w:eastAsia="Times New Roman" w:hAnsi="Times New Roman" w:cs="Times New Roman"/>
          <w:sz w:val="24"/>
          <w:szCs w:val="24"/>
        </w:rPr>
      </w:pPr>
      <w:r w:rsidRPr="00C65A08">
        <w:rPr>
          <w:rFonts w:ascii="Times New Roman" w:hAnsi="Times New Roman" w:cs="Times New Roman"/>
          <w:sz w:val="24"/>
          <w:szCs w:val="24"/>
        </w:rPr>
        <w:t>Date</w:t>
      </w:r>
    </w:p>
    <w:p w:rsidR="001239F0">
      <w:pPr>
        <w:rPr>
          <w:rFonts w:ascii="Times New Roman" w:hAnsi="Times New Roman" w:cs="Times New Roman"/>
          <w:sz w:val="24"/>
          <w:szCs w:val="24"/>
        </w:rPr>
      </w:pPr>
      <w:r>
        <w:rPr>
          <w:rFonts w:ascii="Times New Roman" w:hAnsi="Times New Roman" w:cs="Times New Roman"/>
          <w:sz w:val="24"/>
          <w:szCs w:val="24"/>
        </w:rPr>
        <w:br w:type="page"/>
      </w:r>
    </w:p>
    <w:p w:rsidR="001239F0" w:rsidP="001239F0">
      <w:pPr>
        <w:jc w:val="center"/>
        <w:rPr>
          <w:rFonts w:ascii="Times New Roman" w:hAnsi="Times New Roman" w:cs="Times New Roman"/>
          <w:sz w:val="24"/>
          <w:szCs w:val="24"/>
        </w:rPr>
      </w:pPr>
      <w:r w:rsidRPr="002B5325">
        <w:rPr>
          <w:rFonts w:ascii="Times New Roman" w:hAnsi="Times New Roman" w:cs="Times New Roman"/>
          <w:sz w:val="24"/>
          <w:szCs w:val="24"/>
        </w:rPr>
        <w:t>Final Draft for Data Analysis:</w:t>
      </w:r>
    </w:p>
    <w:p w:rsidR="001E720D" w:rsidP="001E720D">
      <w:pPr>
        <w:spacing w:line="480" w:lineRule="auto"/>
        <w:ind w:firstLine="720"/>
        <w:rPr>
          <w:rFonts w:ascii="Times New Roman" w:hAnsi="Times New Roman" w:cs="Times New Roman"/>
          <w:sz w:val="24"/>
          <w:szCs w:val="24"/>
        </w:rPr>
      </w:pPr>
      <w:r w:rsidRPr="001239F0">
        <w:rPr>
          <w:rFonts w:ascii="Times New Roman" w:hAnsi="Times New Roman" w:cs="Times New Roman"/>
          <w:sz w:val="24"/>
          <w:szCs w:val="24"/>
        </w:rPr>
        <w:t xml:space="preserve">The main objective of this </w:t>
      </w:r>
      <w:r w:rsidRPr="001239F0" w:rsidR="005C3A35">
        <w:rPr>
          <w:rFonts w:ascii="Times New Roman" w:hAnsi="Times New Roman" w:cs="Times New Roman"/>
          <w:sz w:val="24"/>
          <w:szCs w:val="24"/>
        </w:rPr>
        <w:t>report is</w:t>
      </w:r>
      <w:r w:rsidRPr="001239F0">
        <w:rPr>
          <w:rFonts w:ascii="Times New Roman" w:hAnsi="Times New Roman" w:cs="Times New Roman"/>
          <w:sz w:val="24"/>
          <w:szCs w:val="24"/>
        </w:rPr>
        <w:t xml:space="preserve"> Big Data so we can inform new product developments</w:t>
      </w:r>
      <w:r w:rsidRPr="001239F0" w:rsidR="005C3A35">
        <w:rPr>
          <w:rFonts w:ascii="Times New Roman" w:hAnsi="Times New Roman" w:cs="Times New Roman"/>
          <w:sz w:val="24"/>
          <w:szCs w:val="24"/>
        </w:rPr>
        <w:t xml:space="preserve"> as well as the main financial strategies included in the "web pages" of Pfizer, Merck, GlaxoSmithKline, Bristol-Meyer Squibb and Johnson and Johnson.</w:t>
      </w:r>
    </w:p>
    <w:p w:rsidR="00876BB1" w:rsidRPr="001E720D" w:rsidP="001E720D">
      <w:pPr>
        <w:spacing w:line="480" w:lineRule="auto"/>
        <w:rPr>
          <w:rFonts w:ascii="Times New Roman" w:hAnsi="Times New Roman" w:cs="Times New Roman"/>
          <w:sz w:val="24"/>
          <w:szCs w:val="24"/>
        </w:rPr>
      </w:pPr>
      <w:r w:rsidRPr="001239F0">
        <w:rPr>
          <w:rFonts w:ascii="Times New Roman" w:hAnsi="Times New Roman" w:cs="Times New Roman"/>
          <w:sz w:val="24"/>
          <w:szCs w:val="24"/>
        </w:rPr>
        <w:t>The financial strategies for the companies highlight above are:</w:t>
      </w:r>
    </w:p>
    <w:p w:rsidR="00487358" w:rsidRPr="001239F0" w:rsidP="00CD381F">
      <w:pPr>
        <w:spacing w:line="480" w:lineRule="auto"/>
        <w:ind w:firstLine="720"/>
        <w:rPr>
          <w:rFonts w:ascii="Times New Roman" w:hAnsi="Times New Roman" w:cs="Times New Roman"/>
          <w:sz w:val="24"/>
          <w:szCs w:val="24"/>
        </w:rPr>
      </w:pPr>
      <w:r w:rsidRPr="001239F0">
        <w:rPr>
          <w:rFonts w:ascii="Times New Roman" w:hAnsi="Times New Roman" w:cs="Times New Roman"/>
          <w:b/>
          <w:sz w:val="24"/>
          <w:szCs w:val="24"/>
        </w:rPr>
        <w:t>Pfizer</w:t>
      </w:r>
      <w:r w:rsidRPr="001239F0">
        <w:rPr>
          <w:rFonts w:ascii="Times New Roman" w:hAnsi="Times New Roman" w:cs="Times New Roman"/>
          <w:sz w:val="24"/>
          <w:szCs w:val="24"/>
        </w:rPr>
        <w:t xml:space="preserve"> </w:t>
      </w:r>
      <w:r w:rsidRPr="001239F0">
        <w:rPr>
          <w:rFonts w:ascii="Times New Roman" w:hAnsi="Times New Roman" w:cs="Times New Roman"/>
          <w:sz w:val="24"/>
          <w:szCs w:val="24"/>
        </w:rPr>
        <w:t>arrived at the greater part of a billion patients around the planet with medications and antibodies. Also, I got ten administrative endorsements for either new medications or new signs and advanced a large number of crucial R&amp;D pipeline applicants in clinical examinations. Found a way to situate the organization for what they hope to be a period of supported development following the foreseen close of the exchange between Upjohn Inc. (Upjohn) and Mylan N.V. (Mylan) later in 2020 (Pfizer, 2019).</w:t>
      </w:r>
    </w:p>
    <w:p w:rsidR="00487358" w:rsidRPr="001239F0" w:rsidP="00CD381F">
      <w:pPr>
        <w:spacing w:line="480" w:lineRule="auto"/>
        <w:ind w:firstLine="720"/>
        <w:rPr>
          <w:rFonts w:ascii="Times New Roman" w:hAnsi="Times New Roman" w:cs="Times New Roman"/>
          <w:sz w:val="24"/>
          <w:szCs w:val="24"/>
        </w:rPr>
      </w:pPr>
      <w:r w:rsidRPr="001239F0">
        <w:rPr>
          <w:rFonts w:ascii="Times New Roman" w:hAnsi="Times New Roman" w:cs="Times New Roman"/>
          <w:b/>
          <w:sz w:val="24"/>
          <w:szCs w:val="24"/>
        </w:rPr>
        <w:t xml:space="preserve">Merck </w:t>
      </w:r>
      <w:r w:rsidRPr="001239F0">
        <w:rPr>
          <w:rFonts w:ascii="Times New Roman" w:hAnsi="Times New Roman" w:cs="Times New Roman"/>
          <w:sz w:val="24"/>
          <w:szCs w:val="24"/>
        </w:rPr>
        <w:t>intends to expand productivity with an emphasis on money generation and on executing exacting monetary control. In Healthcare, the effective year 2019 included further dispatches of our inventive items Bavencio and Mavenclad. Merck guarantees that they meet their commitments consistently and stick to a traditionalist and proactive subsidizing technique that includes using different monetary instruments.  Additionally, has the latest bond issues occurred in 2019 regarding the obtaining of Versum Materials? Half breed bonds (totalling € 1.5 billion) and euro bonds (totalling € 2.0 billion) were given. The utilization of different instruments gives an expansive financing premise and addresses distinctive speculator gatherings. A solid speculation grade rating is a significant foundation of Merck's financial strategy, as it shields admittance to capital business sectors at alluring monetary conditions.  (Merck, 2019).</w:t>
      </w:r>
    </w:p>
    <w:p w:rsidR="00F0730B" w:rsidRPr="001239F0" w:rsidP="00C74D40">
      <w:pPr>
        <w:spacing w:line="480" w:lineRule="auto"/>
        <w:rPr>
          <w:rFonts w:ascii="Times New Roman" w:hAnsi="Times New Roman" w:cs="Times New Roman"/>
          <w:sz w:val="24"/>
          <w:szCs w:val="24"/>
        </w:rPr>
      </w:pPr>
      <w:r w:rsidRPr="001239F0">
        <w:rPr>
          <w:rFonts w:ascii="Times New Roman" w:hAnsi="Times New Roman" w:cs="Times New Roman"/>
          <w:b/>
          <w:sz w:val="24"/>
          <w:szCs w:val="24"/>
        </w:rPr>
        <w:t>GlaxoSmithKline</w:t>
      </w:r>
      <w:r w:rsidRPr="001239F0" w:rsidR="00C35AB5">
        <w:rPr>
          <w:rFonts w:ascii="Times New Roman" w:hAnsi="Times New Roman" w:cs="Times New Roman"/>
          <w:b/>
          <w:sz w:val="24"/>
          <w:szCs w:val="24"/>
        </w:rPr>
        <w:t xml:space="preserve"> </w:t>
      </w:r>
      <w:r w:rsidRPr="001239F0" w:rsidR="000C59F0">
        <w:rPr>
          <w:rFonts w:ascii="Times New Roman" w:hAnsi="Times New Roman" w:cs="Times New Roman"/>
          <w:sz w:val="24"/>
          <w:szCs w:val="24"/>
        </w:rPr>
        <w:t xml:space="preserve">makes its products affordable and accessible to more individuals around the planet through affordable pricing, key access program and organizations (GlaxoSmithKline </w:t>
      </w:r>
      <w:r w:rsidRPr="001239F0" w:rsidR="00CD381F">
        <w:rPr>
          <w:rFonts w:ascii="Times New Roman" w:hAnsi="Times New Roman" w:cs="Times New Roman"/>
          <w:sz w:val="24"/>
          <w:szCs w:val="24"/>
        </w:rPr>
        <w:t>plc.</w:t>
      </w:r>
      <w:r w:rsidRPr="001239F0" w:rsidR="000C59F0">
        <w:rPr>
          <w:rFonts w:ascii="Times New Roman" w:hAnsi="Times New Roman" w:cs="Times New Roman"/>
          <w:sz w:val="24"/>
          <w:szCs w:val="24"/>
        </w:rPr>
        <w:t xml:space="preserve"> 2008).</w:t>
      </w:r>
    </w:p>
    <w:p w:rsidR="00C35AB5" w:rsidRPr="001239F0" w:rsidP="00C35AB5">
      <w:pPr>
        <w:spacing w:line="480" w:lineRule="auto"/>
        <w:rPr>
          <w:rFonts w:ascii="Times New Roman" w:hAnsi="Times New Roman" w:cs="Times New Roman"/>
          <w:sz w:val="24"/>
          <w:szCs w:val="24"/>
        </w:rPr>
      </w:pPr>
      <w:r w:rsidRPr="001239F0">
        <w:rPr>
          <w:rFonts w:ascii="Times New Roman" w:hAnsi="Times New Roman" w:cs="Times New Roman"/>
          <w:b/>
          <w:sz w:val="24"/>
          <w:szCs w:val="24"/>
        </w:rPr>
        <w:t>Bristol-Meyer Squibb</w:t>
      </w:r>
      <w:r w:rsidRPr="001239F0">
        <w:rPr>
          <w:rFonts w:ascii="Times New Roman" w:hAnsi="Times New Roman" w:cs="Times New Roman"/>
          <w:sz w:val="24"/>
          <w:szCs w:val="24"/>
        </w:rPr>
        <w:t xml:space="preserve"> has three segments to manage; Divesting the organization's nonpharma resources—explicitly, a Nutritionals business and injury care and analytic imaging business that together addressed almost 25% of net sales, focusing the organization's solid R&amp;D association on creating groundbreaking medications in regions of neglected patient need that could fill in as dependable motors of development and accelerating the change by gathering a "pearl necklace": remotely created resources that fit the new procedure and would profit by BMS's R&amp;D and commercialization capacities (Hansell et al., 2021). </w:t>
      </w:r>
    </w:p>
    <w:p w:rsidR="000B5496" w:rsidRPr="001239F0" w:rsidP="00C35AB5">
      <w:pPr>
        <w:spacing w:line="480" w:lineRule="auto"/>
        <w:rPr>
          <w:rFonts w:ascii="Times New Roman" w:hAnsi="Times New Roman" w:cs="Times New Roman"/>
          <w:sz w:val="24"/>
          <w:szCs w:val="24"/>
        </w:rPr>
      </w:pPr>
      <w:r w:rsidRPr="001239F0">
        <w:rPr>
          <w:rFonts w:ascii="Times New Roman" w:hAnsi="Times New Roman" w:cs="Times New Roman"/>
          <w:b/>
          <w:sz w:val="24"/>
          <w:szCs w:val="24"/>
        </w:rPr>
        <w:t>Johnson and Johnson</w:t>
      </w:r>
      <w:r w:rsidRPr="001239F0">
        <w:rPr>
          <w:rFonts w:ascii="Times New Roman" w:hAnsi="Times New Roman" w:cs="Times New Roman"/>
          <w:sz w:val="24"/>
          <w:szCs w:val="24"/>
        </w:rPr>
        <w:t>-the fundamental goals for JNJ are; to boost the capability of driving brands by recording more than 40 line augmentations for administrative endorsement through 2023. To petition for administrative endorsement or dispatch, in any event, ten new prescriptions somewhere in the range of 2019 and 2023 at long last highlights a hearty pipeline that uses information science, progressed remedial modalities, for example, cell and quality treatment, and an equal spotlight on infections and natural pathways (Johnson and Johnson, 2019).</w:t>
      </w:r>
    </w:p>
    <w:p w:rsidR="009C2765" w:rsidRPr="001239F0" w:rsidP="00C74D40">
      <w:pPr>
        <w:spacing w:line="480" w:lineRule="auto"/>
        <w:rPr>
          <w:rFonts w:ascii="Times New Roman" w:hAnsi="Times New Roman" w:cs="Times New Roman"/>
          <w:b/>
          <w:sz w:val="24"/>
          <w:szCs w:val="24"/>
        </w:rPr>
        <w:sectPr w:rsidSect="001239F0">
          <w:headerReference w:type="default" r:id="rId4"/>
          <w:headerReference w:type="first" r:id="rId5"/>
          <w:pgSz w:w="12240" w:h="15840"/>
          <w:pgMar w:top="1440" w:right="1440" w:bottom="1440" w:left="1440" w:header="720" w:footer="720" w:gutter="0"/>
          <w:cols w:space="720"/>
          <w:titlePg/>
          <w:docGrid w:linePitch="360"/>
        </w:sectPr>
      </w:pPr>
    </w:p>
    <w:p w:rsidR="009C2765" w:rsidRPr="001239F0" w:rsidP="00C74D40">
      <w:pPr>
        <w:spacing w:line="480" w:lineRule="auto"/>
        <w:rPr>
          <w:rFonts w:ascii="Times New Roman" w:hAnsi="Times New Roman" w:cs="Times New Roman"/>
          <w:b/>
          <w:sz w:val="24"/>
          <w:szCs w:val="24"/>
        </w:rPr>
      </w:pPr>
      <w:r w:rsidRPr="001239F0">
        <w:rPr>
          <w:rFonts w:ascii="Times New Roman" w:hAnsi="Times New Roman" w:cs="Times New Roman"/>
          <w:b/>
          <w:sz w:val="24"/>
          <w:szCs w:val="24"/>
        </w:rPr>
        <w:t>Stock comparison</w:t>
      </w:r>
    </w:p>
    <w:p w:rsidR="009C2765" w:rsidRPr="001239F0" w:rsidP="00C74D40">
      <w:pPr>
        <w:spacing w:line="480" w:lineRule="auto"/>
        <w:rPr>
          <w:rFonts w:ascii="Times New Roman" w:hAnsi="Times New Roman" w:cs="Times New Roman"/>
          <w:b/>
          <w:sz w:val="24"/>
          <w:szCs w:val="24"/>
        </w:rPr>
      </w:pPr>
      <w:r w:rsidRPr="001239F0">
        <w:rPr>
          <w:rFonts w:ascii="Times New Roman" w:hAnsi="Times New Roman" w:cs="Times New Roman"/>
          <w:b/>
          <w:noProof/>
          <w:sz w:val="24"/>
          <w:szCs w:val="24"/>
        </w:rPr>
        <w:drawing>
          <wp:inline distT="0" distB="0" distL="0" distR="0">
            <wp:extent cx="8229600" cy="430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229600" cy="4305300"/>
                    </a:xfrm>
                    <a:prstGeom prst="rect">
                      <a:avLst/>
                    </a:prstGeom>
                  </pic:spPr>
                </pic:pic>
              </a:graphicData>
            </a:graphic>
          </wp:inline>
        </w:drawing>
      </w:r>
    </w:p>
    <w:p w:rsidR="00F21126" w:rsidRPr="001239F0" w:rsidP="00C74D40">
      <w:pPr>
        <w:spacing w:line="480" w:lineRule="auto"/>
        <w:rPr>
          <w:rFonts w:ascii="Times New Roman" w:hAnsi="Times New Roman" w:cs="Times New Roman"/>
          <w:b/>
          <w:sz w:val="24"/>
          <w:szCs w:val="24"/>
        </w:rPr>
      </w:pPr>
      <w:r w:rsidRPr="001239F0">
        <w:rPr>
          <w:rFonts w:ascii="Times New Roman" w:hAnsi="Times New Roman" w:cs="Times New Roman"/>
          <w:b/>
          <w:sz w:val="24"/>
          <w:szCs w:val="24"/>
        </w:rPr>
        <w:t>Graph Courtesy of Yahoo Finance</w:t>
      </w:r>
    </w:p>
    <w:p w:rsidR="00F21126" w:rsidRPr="001239F0" w:rsidP="00C74D40">
      <w:pPr>
        <w:spacing w:line="480" w:lineRule="auto"/>
        <w:rPr>
          <w:rFonts w:ascii="Times New Roman" w:hAnsi="Times New Roman" w:cs="Times New Roman"/>
          <w:b/>
          <w:sz w:val="24"/>
          <w:szCs w:val="24"/>
        </w:rPr>
      </w:pPr>
    </w:p>
    <w:p w:rsidR="00F21126" w:rsidRPr="001239F0" w:rsidP="00C74D40">
      <w:pPr>
        <w:spacing w:line="480" w:lineRule="auto"/>
        <w:rPr>
          <w:rFonts w:ascii="Times New Roman" w:hAnsi="Times New Roman" w:cs="Times New Roman"/>
          <w:b/>
          <w:sz w:val="24"/>
          <w:szCs w:val="24"/>
        </w:rPr>
        <w:sectPr w:rsidSect="009C2765">
          <w:pgSz w:w="15840" w:h="12240" w:orient="landscape"/>
          <w:pgMar w:top="1440" w:right="1440" w:bottom="1440" w:left="1440" w:header="720" w:footer="720" w:gutter="0"/>
          <w:cols w:space="720"/>
          <w:docGrid w:linePitch="360"/>
        </w:sectPr>
      </w:pPr>
    </w:p>
    <w:p w:rsidR="00F21126" w:rsidRPr="001239F0" w:rsidP="00C74D40">
      <w:pPr>
        <w:spacing w:line="480" w:lineRule="auto"/>
        <w:rPr>
          <w:rFonts w:ascii="Times New Roman" w:hAnsi="Times New Roman" w:cs="Times New Roman"/>
          <w:sz w:val="24"/>
          <w:szCs w:val="24"/>
        </w:rPr>
      </w:pPr>
      <w:r w:rsidRPr="001239F0">
        <w:rPr>
          <w:rFonts w:ascii="Times New Roman" w:hAnsi="Times New Roman" w:cs="Times New Roman"/>
          <w:sz w:val="24"/>
          <w:szCs w:val="24"/>
        </w:rPr>
        <w:t>From the graph, Merck, from 2019 to 2020, has consistently sold most shares. As of 2021, Johnson and Johnson are selling most shares from the five companies. In the year 2020, due to Corona, there is a drastic drop in share being sold in the stock market. Bristol-Meyer Squibb</w:t>
      </w:r>
      <w:r w:rsidRPr="001239F0" w:rsidR="009E2356">
        <w:rPr>
          <w:rFonts w:ascii="Times New Roman" w:hAnsi="Times New Roman" w:cs="Times New Roman"/>
          <w:sz w:val="24"/>
          <w:szCs w:val="24"/>
        </w:rPr>
        <w:t xml:space="preserve">, from the last quarter of 2018 to 2020, </w:t>
      </w:r>
      <w:r w:rsidRPr="001239F0" w:rsidR="007B4D0E">
        <w:rPr>
          <w:rFonts w:ascii="Times New Roman" w:hAnsi="Times New Roman" w:cs="Times New Roman"/>
          <w:sz w:val="24"/>
          <w:szCs w:val="24"/>
        </w:rPr>
        <w:t>has</w:t>
      </w:r>
      <w:r w:rsidRPr="001239F0" w:rsidR="009E2356">
        <w:rPr>
          <w:rFonts w:ascii="Times New Roman" w:hAnsi="Times New Roman" w:cs="Times New Roman"/>
          <w:sz w:val="24"/>
          <w:szCs w:val="24"/>
        </w:rPr>
        <w:t xml:space="preserve"> the lowest trend of selling its shares. </w:t>
      </w:r>
    </w:p>
    <w:p w:rsidR="00F21126" w:rsidRPr="001239F0" w:rsidP="00C74D40">
      <w:pPr>
        <w:spacing w:line="480" w:lineRule="auto"/>
        <w:rPr>
          <w:rFonts w:ascii="Times New Roman" w:hAnsi="Times New Roman" w:cs="Times New Roman"/>
          <w:b/>
          <w:sz w:val="24"/>
          <w:szCs w:val="24"/>
        </w:rPr>
      </w:pPr>
      <w:r w:rsidRPr="001239F0">
        <w:rPr>
          <w:rFonts w:ascii="Times New Roman" w:hAnsi="Times New Roman" w:cs="Times New Roman"/>
          <w:b/>
          <w:sz w:val="24"/>
          <w:szCs w:val="24"/>
        </w:rPr>
        <w:t>Financial Theory</w:t>
      </w:r>
    </w:p>
    <w:p w:rsidR="000C59F0" w:rsidRPr="001239F0" w:rsidP="000C59F0">
      <w:pPr>
        <w:spacing w:line="480" w:lineRule="auto"/>
        <w:rPr>
          <w:rFonts w:ascii="Times New Roman" w:hAnsi="Times New Roman" w:cs="Times New Roman"/>
          <w:b/>
          <w:sz w:val="24"/>
          <w:szCs w:val="24"/>
        </w:rPr>
      </w:pPr>
      <w:r w:rsidRPr="001239F0">
        <w:rPr>
          <w:rFonts w:ascii="Times New Roman" w:hAnsi="Times New Roman" w:cs="Times New Roman"/>
          <w:b/>
          <w:bCs/>
          <w:color w:val="202124"/>
          <w:sz w:val="24"/>
          <w:szCs w:val="24"/>
          <w:shd w:val="clear" w:color="auto" w:fill="FFFFFF"/>
        </w:rPr>
        <w:t xml:space="preserve">Keynes </w:t>
      </w:r>
      <w:r w:rsidRPr="001239F0">
        <w:rPr>
          <w:rFonts w:ascii="Times New Roman" w:hAnsi="Times New Roman" w:cs="Times New Roman"/>
          <w:b/>
          <w:sz w:val="24"/>
          <w:szCs w:val="24"/>
        </w:rPr>
        <w:t>Investment Theory</w:t>
      </w:r>
      <w:r w:rsidRPr="001239F0">
        <w:rPr>
          <w:rFonts w:ascii="Times New Roman" w:hAnsi="Times New Roman" w:cs="Times New Roman"/>
          <w:b/>
          <w:sz w:val="24"/>
          <w:szCs w:val="24"/>
        </w:rPr>
        <w:t xml:space="preserve"> </w:t>
      </w:r>
      <w:r w:rsidRPr="001239F0">
        <w:rPr>
          <w:rFonts w:ascii="Times New Roman" w:hAnsi="Times New Roman" w:cs="Times New Roman"/>
          <w:sz w:val="24"/>
          <w:szCs w:val="24"/>
        </w:rPr>
        <w:t>(Karmakar, 2015)</w:t>
      </w:r>
    </w:p>
    <w:p w:rsidR="000C59F0" w:rsidRPr="001239F0" w:rsidP="00CD381F">
      <w:pPr>
        <w:spacing w:line="480" w:lineRule="auto"/>
        <w:ind w:firstLine="720"/>
        <w:rPr>
          <w:rFonts w:ascii="Times New Roman" w:hAnsi="Times New Roman" w:cs="Times New Roman"/>
          <w:sz w:val="24"/>
          <w:szCs w:val="24"/>
        </w:rPr>
      </w:pPr>
      <w:r w:rsidRPr="001239F0">
        <w:rPr>
          <w:rFonts w:ascii="Times New Roman" w:hAnsi="Times New Roman" w:cs="Times New Roman"/>
          <w:sz w:val="24"/>
          <w:szCs w:val="24"/>
        </w:rPr>
        <w:t>The</w:t>
      </w:r>
      <w:r w:rsidRPr="001239F0">
        <w:rPr>
          <w:rFonts w:ascii="Times New Roman" w:hAnsi="Times New Roman" w:cs="Times New Roman"/>
          <w:sz w:val="24"/>
          <w:szCs w:val="24"/>
        </w:rPr>
        <w:t xml:space="preserve"> hypothesis shows that capital venture ought to develop over the long run. A venture stream figuring includes getting the contrast between the capital toward the end and the time frame. As a monetary administration practice hypothesis, this hypothesis assumes an indispensable part in separating speculation and capital. The venture's hypothesis has stayed the main</w:t>
      </w:r>
      <w:r w:rsidRPr="001239F0">
        <w:rPr>
          <w:rFonts w:ascii="Times New Roman" w:hAnsi="Times New Roman" w:cs="Times New Roman"/>
          <w:sz w:val="24"/>
          <w:szCs w:val="24"/>
        </w:rPr>
        <w:t xml:space="preserve">stream over the long run, considering philosophers are seriously attempting to dig into what it means for speculation choice and nature of authority. This might be consistent with all organizations; however, a few organizations, for example, Johnson and Johnson pattern on the Operating Profit, don't increment. See appendix 1 for more information. </w:t>
      </w:r>
    </w:p>
    <w:p w:rsidR="000C59F0" w:rsidRPr="001239F0" w:rsidP="000C59F0">
      <w:pPr>
        <w:spacing w:line="480" w:lineRule="auto"/>
        <w:rPr>
          <w:rFonts w:ascii="Times New Roman" w:hAnsi="Times New Roman" w:cs="Times New Roman"/>
          <w:b/>
          <w:sz w:val="24"/>
          <w:szCs w:val="24"/>
        </w:rPr>
      </w:pPr>
      <w:r w:rsidRPr="001239F0">
        <w:rPr>
          <w:rFonts w:ascii="Times New Roman" w:hAnsi="Times New Roman" w:cs="Times New Roman"/>
          <w:b/>
          <w:sz w:val="24"/>
          <w:szCs w:val="24"/>
        </w:rPr>
        <w:t>Agency</w:t>
      </w:r>
      <w:r w:rsidRPr="001239F0">
        <w:rPr>
          <w:rFonts w:ascii="Times New Roman" w:hAnsi="Times New Roman" w:cs="Times New Roman"/>
          <w:b/>
          <w:sz w:val="24"/>
          <w:szCs w:val="24"/>
        </w:rPr>
        <w:t xml:space="preserve"> Theory </w:t>
      </w:r>
      <w:r w:rsidRPr="001239F0">
        <w:rPr>
          <w:rFonts w:ascii="Times New Roman" w:hAnsi="Times New Roman" w:cs="Times New Roman"/>
          <w:sz w:val="24"/>
          <w:szCs w:val="24"/>
        </w:rPr>
        <w:t>(Kopp, 2020)</w:t>
      </w:r>
    </w:p>
    <w:p w:rsidR="000C59F0" w:rsidRPr="001239F0" w:rsidP="00CD381F">
      <w:pPr>
        <w:spacing w:line="480" w:lineRule="auto"/>
        <w:ind w:firstLine="720"/>
        <w:rPr>
          <w:rFonts w:ascii="Times New Roman" w:hAnsi="Times New Roman" w:cs="Times New Roman"/>
          <w:sz w:val="24"/>
          <w:szCs w:val="24"/>
        </w:rPr>
      </w:pPr>
      <w:r w:rsidRPr="001239F0">
        <w:rPr>
          <w:rFonts w:ascii="Times New Roman" w:hAnsi="Times New Roman" w:cs="Times New Roman"/>
          <w:sz w:val="24"/>
          <w:szCs w:val="24"/>
        </w:rPr>
        <w:t xml:space="preserve">This hypothesis recommends that an element can be taken a gander at as an association between asset proprietors. A business is comprised of outside and inward clients. This reality makes office hypothesis focal in occurrences where firms need to keep up solid connections. This is applicable in the selling of shares, internal and the general public, and bonds. This is viable in all five companies. The shares earn dividend for both external and internal shares sold. See appendix 2 for clarity. </w:t>
      </w:r>
    </w:p>
    <w:p w:rsidR="000C59F0" w:rsidRPr="001239F0" w:rsidP="000C59F0">
      <w:pPr>
        <w:spacing w:line="480" w:lineRule="auto"/>
        <w:rPr>
          <w:rFonts w:ascii="Times New Roman" w:hAnsi="Times New Roman" w:cs="Times New Roman"/>
          <w:b/>
          <w:sz w:val="24"/>
          <w:szCs w:val="24"/>
        </w:rPr>
      </w:pPr>
      <w:r w:rsidRPr="001239F0">
        <w:rPr>
          <w:rFonts w:ascii="Times New Roman" w:hAnsi="Times New Roman" w:cs="Times New Roman"/>
          <w:b/>
          <w:sz w:val="24"/>
          <w:szCs w:val="24"/>
        </w:rPr>
        <w:t xml:space="preserve">Expectation Theory </w:t>
      </w:r>
      <w:r w:rsidRPr="001239F0">
        <w:rPr>
          <w:rFonts w:ascii="Times New Roman" w:hAnsi="Times New Roman" w:cs="Times New Roman"/>
          <w:sz w:val="24"/>
          <w:szCs w:val="24"/>
        </w:rPr>
        <w:t>(Kelly, 2020)</w:t>
      </w:r>
    </w:p>
    <w:p w:rsidR="000C59F0" w:rsidRPr="001239F0" w:rsidP="00827786">
      <w:pPr>
        <w:spacing w:line="480" w:lineRule="auto"/>
        <w:ind w:firstLine="720"/>
        <w:rPr>
          <w:rFonts w:ascii="Times New Roman" w:hAnsi="Times New Roman" w:cs="Times New Roman"/>
          <w:b/>
          <w:sz w:val="24"/>
          <w:szCs w:val="24"/>
        </w:rPr>
      </w:pPr>
      <w:r w:rsidRPr="001239F0">
        <w:rPr>
          <w:rFonts w:ascii="Times New Roman" w:hAnsi="Times New Roman" w:cs="Times New Roman"/>
          <w:sz w:val="24"/>
          <w:szCs w:val="24"/>
        </w:rPr>
        <w:t xml:space="preserve">The </w:t>
      </w:r>
      <w:r w:rsidRPr="001239F0">
        <w:rPr>
          <w:rFonts w:ascii="Times New Roman" w:hAnsi="Times New Roman" w:cs="Times New Roman"/>
          <w:b/>
          <w:sz w:val="24"/>
          <w:szCs w:val="24"/>
        </w:rPr>
        <w:t xml:space="preserve">Expectation </w:t>
      </w:r>
      <w:r w:rsidRPr="001239F0">
        <w:rPr>
          <w:rFonts w:ascii="Times New Roman" w:hAnsi="Times New Roman" w:cs="Times New Roman"/>
          <w:sz w:val="24"/>
          <w:szCs w:val="24"/>
        </w:rPr>
        <w:t xml:space="preserve">hypothesis </w:t>
      </w:r>
      <w:r w:rsidRPr="001239F0">
        <w:rPr>
          <w:rFonts w:ascii="Times New Roman" w:hAnsi="Times New Roman" w:cs="Times New Roman"/>
          <w:sz w:val="24"/>
          <w:szCs w:val="24"/>
        </w:rPr>
        <w:t xml:space="preserve">proposes that the premium construction relies upon speculations evaluating and development. At a quick thought, people may choose to buy a 10-years bond rather than two 5-years bonds. This hypothesis shows that the two venture alternatives are equivalent because the dangers included might be the equivalent. The assumption hypothesis also reasons that projections of future interest rates may relate to approaching rates achieved as expected. Giving of bonds is reported in the five organizations are Pfizer-1.25 billion bond in 2020, GlaxoSmithKline-1 billion bond in 2018, Bristol-Meyer Squibb-750 billion of every 2017 and Johnson and Johnson-0.5 billion out of 2020. The bond has an alternate development period and relying upon the organization diverse interest structure. </w:t>
      </w:r>
    </w:p>
    <w:p w:rsidR="000C59F0" w:rsidRPr="001239F0" w:rsidP="000C59F0">
      <w:pPr>
        <w:spacing w:line="480" w:lineRule="auto"/>
        <w:rPr>
          <w:rFonts w:ascii="Times New Roman" w:hAnsi="Times New Roman" w:cs="Times New Roman"/>
          <w:b/>
          <w:sz w:val="24"/>
          <w:szCs w:val="24"/>
        </w:rPr>
      </w:pPr>
      <w:r w:rsidRPr="001239F0">
        <w:rPr>
          <w:rFonts w:ascii="Times New Roman" w:hAnsi="Times New Roman" w:cs="Times New Roman"/>
          <w:b/>
          <w:sz w:val="24"/>
          <w:szCs w:val="24"/>
        </w:rPr>
        <w:t xml:space="preserve">Minsky's hypothesis </w:t>
      </w:r>
      <w:r w:rsidRPr="001239F0" w:rsidR="00827786">
        <w:rPr>
          <w:rFonts w:ascii="Times New Roman" w:hAnsi="Times New Roman" w:cs="Times New Roman"/>
          <w:sz w:val="24"/>
          <w:szCs w:val="24"/>
        </w:rPr>
        <w:t>(Ganti, 2020)</w:t>
      </w:r>
    </w:p>
    <w:p w:rsidR="000C59F0" w:rsidRPr="001239F0" w:rsidP="00CD381F">
      <w:pPr>
        <w:spacing w:line="480" w:lineRule="auto"/>
        <w:ind w:firstLine="720"/>
        <w:rPr>
          <w:rFonts w:ascii="Times New Roman" w:hAnsi="Times New Roman" w:cs="Times New Roman"/>
          <w:b/>
          <w:i/>
          <w:sz w:val="24"/>
          <w:szCs w:val="24"/>
        </w:rPr>
      </w:pPr>
      <w:r w:rsidRPr="001239F0">
        <w:rPr>
          <w:rFonts w:ascii="Times New Roman" w:hAnsi="Times New Roman" w:cs="Times New Roman"/>
          <w:sz w:val="24"/>
          <w:szCs w:val="24"/>
        </w:rPr>
        <w:t>The hypothesis streams into monetary flimsiness theory, as indicated by which a monetarily progressed economy is fundamentally precarious, tending to travel through a grouping of development, a speculative blast and a monetary emergency followed by an obligation flattening and a profound despondency. In the year 2020, the offers in the market definitely dropped because of financial instability from Covid-19, which affected the business climate in the year. See the pattern share examination above for Pfizer, Merck, GlaxoSmithKline, Bristol-Meyer Squibb and Johnson and Johnson</w:t>
      </w:r>
      <w:r w:rsidRPr="001239F0">
        <w:rPr>
          <w:rFonts w:ascii="Times New Roman" w:hAnsi="Times New Roman" w:cs="Times New Roman"/>
          <w:b/>
          <w:i/>
          <w:sz w:val="24"/>
          <w:szCs w:val="24"/>
        </w:rPr>
        <w:t>.</w:t>
      </w:r>
    </w:p>
    <w:p w:rsidR="00C61690" w:rsidP="00CD381F">
      <w:pPr>
        <w:spacing w:line="480" w:lineRule="auto"/>
        <w:ind w:firstLine="720"/>
        <w:rPr>
          <w:rFonts w:ascii="Times New Roman" w:hAnsi="Times New Roman" w:cs="Times New Roman"/>
          <w:sz w:val="24"/>
          <w:szCs w:val="24"/>
        </w:rPr>
      </w:pPr>
      <w:r w:rsidRPr="001239F0">
        <w:rPr>
          <w:rFonts w:ascii="Times New Roman" w:hAnsi="Times New Roman" w:cs="Times New Roman"/>
          <w:sz w:val="24"/>
          <w:szCs w:val="24"/>
        </w:rPr>
        <w:t xml:space="preserve">Collectively Pfizer, Merck, GlaxoSmithKline, Bristol-Meyer Squibb, and Johnson and Johnson implication of the theory is versatile; make gains and losses in the stock market industry while the announcement of bonds available for sale is wholly dependent on the different management. In all five companies, they make additional funds available by selling their </w:t>
      </w:r>
      <w:r w:rsidRPr="001239F0">
        <w:rPr>
          <w:rFonts w:ascii="Times New Roman" w:hAnsi="Times New Roman" w:cs="Times New Roman"/>
          <w:sz w:val="24"/>
          <w:szCs w:val="24"/>
        </w:rPr>
        <w:t>shares in the local and global market.</w:t>
      </w:r>
      <w:r w:rsidRPr="001239F0" w:rsidR="00CD381F">
        <w:rPr>
          <w:rFonts w:ascii="Times New Roman" w:hAnsi="Times New Roman" w:cs="Times New Roman"/>
          <w:sz w:val="24"/>
          <w:szCs w:val="24"/>
        </w:rPr>
        <w:t xml:space="preserve"> The shares and bonds sold can accelerate the financial objective of the different Co</w:t>
      </w:r>
      <w:r>
        <w:rPr>
          <w:rFonts w:ascii="Times New Roman" w:hAnsi="Times New Roman" w:cs="Times New Roman"/>
          <w:sz w:val="24"/>
          <w:szCs w:val="24"/>
        </w:rPr>
        <w:t>mpany by offering finances.</w:t>
      </w:r>
    </w:p>
    <w:p w:rsidR="00C61690" w:rsidRPr="00774E37" w:rsidP="00774E37">
      <w:pPr>
        <w:spacing w:line="480" w:lineRule="auto"/>
        <w:rPr>
          <w:rFonts w:ascii="Times New Roman" w:hAnsi="Times New Roman" w:cs="Times New Roman"/>
          <w:b/>
          <w:sz w:val="24"/>
          <w:szCs w:val="24"/>
        </w:rPr>
      </w:pPr>
      <w:r w:rsidRPr="00774E37">
        <w:rPr>
          <w:rFonts w:ascii="Times New Roman" w:hAnsi="Times New Roman" w:cs="Times New Roman"/>
          <w:b/>
          <w:sz w:val="24"/>
          <w:szCs w:val="24"/>
        </w:rPr>
        <w:t>Trend Analysis Comparison</w:t>
      </w:r>
    </w:p>
    <w:p w:rsidR="00D425D5" w:rsidP="00CD38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particular companies are best at managing their companies, better at competing as well as </w:t>
      </w:r>
      <w:r w:rsidR="00CE241D">
        <w:rPr>
          <w:rFonts w:ascii="Times New Roman" w:hAnsi="Times New Roman" w:cs="Times New Roman"/>
          <w:sz w:val="24"/>
          <w:szCs w:val="24"/>
        </w:rPr>
        <w:t xml:space="preserve">sharing their profits with the stakeholders. Under this case, we highlight the dividend first approach. A dividend first investment approach is said to be when a company plans on dividends solely to meet its financial objectives, hence maximizing the possibility of success through all possible ways. First, Pfizer enjoys high yields while the other four companies have yields that are similar between 2.74 percent and 3.64 percent. </w:t>
      </w:r>
      <w:r>
        <w:rPr>
          <w:rFonts w:ascii="Times New Roman" w:hAnsi="Times New Roman" w:cs="Times New Roman"/>
          <w:sz w:val="24"/>
          <w:szCs w:val="24"/>
        </w:rPr>
        <w:t>While in the past 12 months, Johnson and Johnson and Pfizer are seen rising their dividend by mid-single numbers, the other three stocks rise by a similar amount. BMY experiences the lowest ration on the payout, where they pay approximately a third of its total cash flow. Johnson and Johnson and Glaxo smith pay about two thirds or half of their free cash.  Pfizer and Merck pay out approximately more than four-fifths of their total free cash flow.</w:t>
      </w:r>
    </w:p>
    <w:p w:rsidR="00D15C1F" w:rsidP="00CD38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the trend analysis indication can be portrayed by looking at the free cash flow payout ratios over the last five years. The payout ratio for Pfizer </w:t>
      </w:r>
      <w:r w:rsidR="00337B4C">
        <w:rPr>
          <w:rFonts w:ascii="Times New Roman" w:hAnsi="Times New Roman" w:cs="Times New Roman"/>
          <w:sz w:val="24"/>
          <w:szCs w:val="24"/>
        </w:rPr>
        <w:t xml:space="preserve">seems to be falling over the last two years. This, however, should be a point of concern for the Company and a possible remedy identified. Johnson and Johnson payout ratios, on the other side, have been stable and declining. This implies that the company management has failed to grow the dividend by as much as it would be. Merck's payout ratio is being more volatile compared to the other companies and moving up and down over the years. For Bristol Myers company, </w:t>
      </w:r>
      <w:r>
        <w:rPr>
          <w:rFonts w:ascii="Times New Roman" w:hAnsi="Times New Roman" w:cs="Times New Roman"/>
          <w:sz w:val="24"/>
          <w:szCs w:val="24"/>
        </w:rPr>
        <w:t xml:space="preserve">it has never experienced attractive cash flow in regard to the dividend, as has been the case for the </w:t>
      </w:r>
      <w:r>
        <w:rPr>
          <w:rFonts w:ascii="Times New Roman" w:hAnsi="Times New Roman" w:cs="Times New Roman"/>
          <w:sz w:val="24"/>
          <w:szCs w:val="24"/>
        </w:rPr>
        <w:t>last two years. GlaxoSmithKline, in its case, has tried to maintain better payout ratios even though they have been experiencing a rise for the last two years. Generally, none of these companies can be termed to be experiencing extremely poor payout ratios in the particular group, although it underlines each Company's dynamics.</w:t>
      </w:r>
    </w:p>
    <w:p w:rsidR="005804DF" w:rsidRPr="0002699F" w:rsidP="00544FB6">
      <w:pPr>
        <w:spacing w:line="480" w:lineRule="auto"/>
        <w:rPr>
          <w:rFonts w:ascii="Times New Roman" w:hAnsi="Times New Roman" w:cs="Times New Roman"/>
          <w:sz w:val="24"/>
          <w:szCs w:val="24"/>
        </w:rPr>
      </w:pPr>
      <w:r w:rsidRPr="00774E37">
        <w:rPr>
          <w:rFonts w:ascii="Times New Roman" w:hAnsi="Times New Roman" w:cs="Times New Roman"/>
          <w:b/>
          <w:sz w:val="24"/>
          <w:szCs w:val="24"/>
        </w:rPr>
        <w:t xml:space="preserve">Comparison between the companies </w:t>
      </w:r>
      <w:r w:rsidRPr="00774E37" w:rsidR="00774E37">
        <w:rPr>
          <w:rFonts w:ascii="Times New Roman" w:hAnsi="Times New Roman" w:cs="Times New Roman"/>
          <w:b/>
          <w:sz w:val="24"/>
          <w:szCs w:val="24"/>
        </w:rPr>
        <w:t>and the Industry</w:t>
      </w:r>
      <w:r w:rsidRPr="001239F0">
        <w:rPr>
          <w:rFonts w:ascii="Times New Roman" w:hAnsi="Times New Roman" w:cs="Times New Roman"/>
          <w:sz w:val="24"/>
          <w:szCs w:val="24"/>
        </w:rPr>
        <w:br w:type="page"/>
      </w:r>
      <w:r w:rsidRPr="00774E37">
        <w:rPr>
          <w:rFonts w:ascii="Times New Roman" w:hAnsi="Times New Roman" w:cs="Times New Roman"/>
          <w:b/>
          <w:sz w:val="24"/>
          <w:szCs w:val="24"/>
        </w:rPr>
        <w:t>Bristol Myers</w:t>
      </w:r>
    </w:p>
    <w:p w:rsidR="00544FB6" w:rsidP="00B96D55">
      <w:pPr>
        <w:spacing w:line="480" w:lineRule="auto"/>
        <w:ind w:firstLine="720"/>
        <w:rPr>
          <w:rFonts w:ascii="Times New Roman" w:hAnsi="Times New Roman" w:cs="Times New Roman"/>
          <w:sz w:val="24"/>
          <w:szCs w:val="24"/>
        </w:rPr>
      </w:pPr>
      <w:r>
        <w:rPr>
          <w:rFonts w:ascii="Times New Roman" w:hAnsi="Times New Roman" w:cs="Times New Roman"/>
          <w:sz w:val="24"/>
          <w:szCs w:val="24"/>
        </w:rPr>
        <w:t>Bristol Myers has a creative acquisition history where Celgene's acquisition translates to the healthy cash flow amounts for the Company. A h</w:t>
      </w:r>
      <w:r w:rsidR="00C66FCA">
        <w:rPr>
          <w:rFonts w:ascii="Times New Roman" w:hAnsi="Times New Roman" w:cs="Times New Roman"/>
          <w:sz w:val="24"/>
          <w:szCs w:val="24"/>
        </w:rPr>
        <w:t>uge dividend increase ranging from 9 to 12 %  would strongly indicate that the management is ready to share huge cash flow amounts with the Company's shareholders.</w:t>
      </w:r>
    </w:p>
    <w:p w:rsidR="00C66FCA" w:rsidRPr="00774E37" w:rsidP="00544FB6">
      <w:pPr>
        <w:spacing w:line="480" w:lineRule="auto"/>
        <w:rPr>
          <w:rFonts w:ascii="Times New Roman" w:hAnsi="Times New Roman" w:cs="Times New Roman"/>
          <w:b/>
          <w:sz w:val="24"/>
          <w:szCs w:val="24"/>
        </w:rPr>
      </w:pPr>
      <w:r w:rsidRPr="00774E37">
        <w:rPr>
          <w:rFonts w:ascii="Times New Roman" w:hAnsi="Times New Roman" w:cs="Times New Roman"/>
          <w:b/>
          <w:sz w:val="24"/>
          <w:szCs w:val="24"/>
        </w:rPr>
        <w:t>Pfizer</w:t>
      </w:r>
    </w:p>
    <w:p w:rsidR="00085E93" w:rsidP="00B96D5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dividend growth for the Company seems to be slowing for the past decade. The struggling Upjohn spinoff, which is the silver lining of the Company into the new Viatris, basically influences the Company's make up.</w:t>
      </w:r>
      <w:r>
        <w:rPr>
          <w:rFonts w:ascii="Times New Roman" w:hAnsi="Times New Roman" w:cs="Times New Roman"/>
          <w:sz w:val="24"/>
          <w:szCs w:val="24"/>
        </w:rPr>
        <w:t xml:space="preserve"> Assuming that Pfizer maintains the current rate for its dividends, it implies that it still maintains its 75% cash flow operating payout ratio.</w:t>
      </w:r>
    </w:p>
    <w:p w:rsidR="00085E93" w:rsidRPr="00774E37" w:rsidP="00544FB6">
      <w:pPr>
        <w:spacing w:line="480" w:lineRule="auto"/>
        <w:rPr>
          <w:rFonts w:ascii="Times New Roman" w:hAnsi="Times New Roman" w:cs="Times New Roman"/>
          <w:b/>
          <w:sz w:val="24"/>
          <w:szCs w:val="24"/>
        </w:rPr>
      </w:pPr>
      <w:r w:rsidRPr="00774E37">
        <w:rPr>
          <w:rFonts w:ascii="Times New Roman" w:hAnsi="Times New Roman" w:cs="Times New Roman"/>
          <w:b/>
          <w:sz w:val="24"/>
          <w:szCs w:val="24"/>
        </w:rPr>
        <w:t>Merc</w:t>
      </w:r>
      <w:r w:rsidR="00774E37">
        <w:rPr>
          <w:rFonts w:ascii="Times New Roman" w:hAnsi="Times New Roman" w:cs="Times New Roman"/>
          <w:b/>
          <w:sz w:val="24"/>
          <w:szCs w:val="24"/>
        </w:rPr>
        <w:t>k</w:t>
      </w:r>
    </w:p>
    <w:p w:rsidR="00C66FCA" w:rsidP="00B96D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Merc is another pharmaceutical company that is owned by many dividend investors. In relation to the rapid growth earnings in a number of years, the Company has initiated and accelerated the dividend growth which has occurred while the free and operating cash flow amount </w:t>
      </w:r>
      <w:r w:rsidR="006D71C7">
        <w:rPr>
          <w:rFonts w:ascii="Times New Roman" w:hAnsi="Times New Roman" w:cs="Times New Roman"/>
          <w:sz w:val="24"/>
          <w:szCs w:val="24"/>
        </w:rPr>
        <w:t>generated by the business continues to be stable.</w:t>
      </w:r>
    </w:p>
    <w:p w:rsidR="006D71C7" w:rsidRPr="00774E37" w:rsidP="00544FB6">
      <w:pPr>
        <w:spacing w:line="480" w:lineRule="auto"/>
        <w:rPr>
          <w:rFonts w:ascii="Times New Roman" w:hAnsi="Times New Roman" w:cs="Times New Roman"/>
          <w:b/>
          <w:sz w:val="24"/>
          <w:szCs w:val="24"/>
        </w:rPr>
      </w:pPr>
      <w:r w:rsidRPr="00774E37">
        <w:rPr>
          <w:rFonts w:ascii="Times New Roman" w:hAnsi="Times New Roman" w:cs="Times New Roman"/>
          <w:b/>
          <w:sz w:val="24"/>
          <w:szCs w:val="24"/>
        </w:rPr>
        <w:t>Johnson and Johnson</w:t>
      </w:r>
    </w:p>
    <w:p w:rsidR="006D71C7" w:rsidP="00B96D5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blue-chip bluest healthcare stocks are the Company which gets more steady as the gets. The dividend grew by 6.5% p.a over the last decade, which has been the same growth rate for its free and operating cash flows. Due to its defensive nature, predictability</w:t>
      </w:r>
      <w:r w:rsidR="00FF6677">
        <w:rPr>
          <w:rFonts w:ascii="Times New Roman" w:hAnsi="Times New Roman" w:cs="Times New Roman"/>
          <w:sz w:val="24"/>
          <w:szCs w:val="24"/>
        </w:rPr>
        <w:t xml:space="preserve"> all-weather ultimate status, the Company generally trades on a slight premium.</w:t>
      </w:r>
    </w:p>
    <w:p w:rsidR="00774E37" w:rsidRPr="00774E37" w:rsidP="00544FB6">
      <w:pPr>
        <w:spacing w:line="480" w:lineRule="auto"/>
        <w:rPr>
          <w:rFonts w:ascii="Times New Roman" w:hAnsi="Times New Roman" w:cs="Times New Roman"/>
          <w:b/>
          <w:sz w:val="24"/>
          <w:szCs w:val="24"/>
        </w:rPr>
      </w:pPr>
      <w:r w:rsidRPr="00774E37">
        <w:rPr>
          <w:rFonts w:ascii="Times New Roman" w:hAnsi="Times New Roman" w:cs="Times New Roman"/>
          <w:b/>
          <w:sz w:val="24"/>
          <w:szCs w:val="24"/>
        </w:rPr>
        <w:t xml:space="preserve">GlaxoSmithKline </w:t>
      </w:r>
    </w:p>
    <w:p w:rsidR="00FF6677" w:rsidP="00544FB6">
      <w:pPr>
        <w:spacing w:line="480" w:lineRule="auto"/>
        <w:rPr>
          <w:rFonts w:ascii="Times New Roman" w:hAnsi="Times New Roman" w:cs="Times New Roman"/>
          <w:sz w:val="24"/>
          <w:szCs w:val="24"/>
        </w:rPr>
      </w:pPr>
      <w:r>
        <w:rPr>
          <w:rFonts w:ascii="Times New Roman" w:hAnsi="Times New Roman" w:cs="Times New Roman"/>
          <w:sz w:val="24"/>
          <w:szCs w:val="24"/>
        </w:rPr>
        <w:t xml:space="preserve">GlaxoSmithKline might have </w:t>
      </w:r>
      <w:r w:rsidR="00774E37">
        <w:rPr>
          <w:rFonts w:ascii="Times New Roman" w:hAnsi="Times New Roman" w:cs="Times New Roman"/>
          <w:sz w:val="24"/>
          <w:szCs w:val="24"/>
        </w:rPr>
        <w:t xml:space="preserve">experienced </w:t>
      </w:r>
      <w:r>
        <w:rPr>
          <w:rFonts w:ascii="Times New Roman" w:hAnsi="Times New Roman" w:cs="Times New Roman"/>
          <w:sz w:val="24"/>
          <w:szCs w:val="24"/>
        </w:rPr>
        <w:t xml:space="preserve">more risk due to its debt and growing dividends in smaller history. However, it makes up more than its healthy payout ratios, a dividend growth of a double-digit and a fantastically high yield. Over the last seven years, the Company has experienced adverse growth of the dividend providing a 3.7% median. </w:t>
      </w:r>
      <w:r w:rsidR="00774E37">
        <w:rPr>
          <w:rFonts w:ascii="Times New Roman" w:hAnsi="Times New Roman" w:cs="Times New Roman"/>
          <w:sz w:val="24"/>
          <w:szCs w:val="24"/>
        </w:rPr>
        <w:t>Its wider fair range indicates the volatility of its stock. The Company is surely rebuilding itself from ashes after experiencing a long period of difficulty.</w:t>
      </w:r>
    </w:p>
    <w:p w:rsidR="00512343" w:rsidRPr="00B96D55" w:rsidP="00544FB6">
      <w:pPr>
        <w:spacing w:line="480" w:lineRule="auto"/>
        <w:rPr>
          <w:rFonts w:ascii="Times New Roman" w:hAnsi="Times New Roman" w:cs="Times New Roman"/>
          <w:b/>
          <w:sz w:val="24"/>
          <w:szCs w:val="24"/>
        </w:rPr>
      </w:pPr>
      <w:r w:rsidRPr="00B96D55">
        <w:rPr>
          <w:rFonts w:ascii="Times New Roman" w:hAnsi="Times New Roman" w:cs="Times New Roman"/>
          <w:b/>
          <w:sz w:val="24"/>
          <w:szCs w:val="24"/>
        </w:rPr>
        <w:t>The market</w:t>
      </w:r>
      <w:r w:rsidR="00B96D55">
        <w:rPr>
          <w:rFonts w:ascii="Times New Roman" w:hAnsi="Times New Roman" w:cs="Times New Roman"/>
          <w:b/>
          <w:sz w:val="24"/>
          <w:szCs w:val="24"/>
        </w:rPr>
        <w:t>;</w:t>
      </w:r>
      <w:r w:rsidRPr="00B96D55">
        <w:rPr>
          <w:rFonts w:ascii="Times New Roman" w:hAnsi="Times New Roman" w:cs="Times New Roman"/>
          <w:b/>
          <w:sz w:val="24"/>
          <w:szCs w:val="24"/>
        </w:rPr>
        <w:t xml:space="preserve"> locally and globally</w:t>
      </w:r>
      <w:r w:rsidR="00B96D55">
        <w:rPr>
          <w:rFonts w:ascii="Times New Roman" w:hAnsi="Times New Roman" w:cs="Times New Roman"/>
          <w:b/>
          <w:sz w:val="24"/>
          <w:szCs w:val="24"/>
        </w:rPr>
        <w:t xml:space="preserve"> </w:t>
      </w:r>
      <w:r w:rsidR="0002699F">
        <w:rPr>
          <w:rFonts w:ascii="Times New Roman" w:hAnsi="Times New Roman" w:cs="Times New Roman"/>
          <w:b/>
          <w:sz w:val="24"/>
          <w:szCs w:val="24"/>
        </w:rPr>
        <w:t>(</w:t>
      </w:r>
      <w:r w:rsidR="00B96D55">
        <w:rPr>
          <w:rFonts w:ascii="Times New Roman" w:hAnsi="Times New Roman" w:cs="Times New Roman"/>
          <w:sz w:val="24"/>
          <w:szCs w:val="24"/>
        </w:rPr>
        <w:t xml:space="preserve">Tannoury &amp; Attieh, </w:t>
      </w:r>
      <w:r w:rsidRPr="00B96D55" w:rsidR="00B96D55">
        <w:rPr>
          <w:rFonts w:ascii="Times New Roman" w:hAnsi="Times New Roman" w:cs="Times New Roman"/>
          <w:sz w:val="24"/>
          <w:szCs w:val="24"/>
        </w:rPr>
        <w:t>2017)</w:t>
      </w:r>
    </w:p>
    <w:p w:rsidR="00512343" w:rsidP="00B96D55">
      <w:pPr>
        <w:spacing w:line="480" w:lineRule="auto"/>
        <w:ind w:firstLine="720"/>
        <w:rPr>
          <w:rFonts w:ascii="Times New Roman" w:hAnsi="Times New Roman" w:cs="Times New Roman"/>
          <w:sz w:val="24"/>
          <w:szCs w:val="24"/>
        </w:rPr>
      </w:pPr>
      <w:r w:rsidRPr="0002699F">
        <w:rPr>
          <w:rFonts w:ascii="Times New Roman" w:hAnsi="Times New Roman" w:cs="Times New Roman"/>
          <w:sz w:val="24"/>
          <w:szCs w:val="24"/>
        </w:rPr>
        <w:t>Tannoury &amp; Attieh, 2017</w:t>
      </w:r>
      <w:r>
        <w:rPr>
          <w:rFonts w:ascii="Times New Roman" w:hAnsi="Times New Roman" w:cs="Times New Roman"/>
          <w:sz w:val="24"/>
          <w:szCs w:val="24"/>
        </w:rPr>
        <w:t xml:space="preserve"> notes that o</w:t>
      </w:r>
      <w:r>
        <w:rPr>
          <w:rFonts w:ascii="Times New Roman" w:hAnsi="Times New Roman" w:cs="Times New Roman"/>
          <w:sz w:val="24"/>
          <w:szCs w:val="24"/>
        </w:rPr>
        <w:t>ver the last decades, there has been a vast geographical reach expansion in pharmaceutical production. The growth is projected to continue, even in the many markets that have been newly opened, and the drug companies continue to experience vast growth. For example, a projection of $1bn industry for pharmaceuticals is projected in Myanmar.</w:t>
      </w:r>
    </w:p>
    <w:p w:rsidR="00512343" w:rsidP="00B96D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companies and governments continue to consider the high potential held in the sector where both continue to pursue the development in the cross-cutting problems face, especially concerning the required resources for the new products innovation </w:t>
      </w:r>
      <w:r w:rsidR="001436DA">
        <w:rPr>
          <w:rFonts w:ascii="Times New Roman" w:hAnsi="Times New Roman" w:cs="Times New Roman"/>
          <w:sz w:val="24"/>
          <w:szCs w:val="24"/>
        </w:rPr>
        <w:t>and intellectual property protection accompanying concerns. As the economies continue to experience rapid growth, expansion of the insurance mechanisms and health care provision, there is also a continued rise in demand for the imported and local pharmaceutical products. The emerging markets outshine the Europe big five; France, Spain, German, Italy and U.K. on pharmaceuticals having a $281billion total market size compared to $196 billion in 2014 for the Europe big fiv</w:t>
      </w:r>
      <w:r w:rsidR="0002699F">
        <w:rPr>
          <w:rFonts w:ascii="Times New Roman" w:hAnsi="Times New Roman" w:cs="Times New Roman"/>
          <w:sz w:val="24"/>
          <w:szCs w:val="24"/>
        </w:rPr>
        <w:t>e</w:t>
      </w:r>
      <w:r w:rsidRPr="0002699F" w:rsidR="0002699F">
        <w:t xml:space="preserve"> </w:t>
      </w:r>
      <w:r w:rsidR="0002699F">
        <w:t>(</w:t>
      </w:r>
      <w:r w:rsidR="0002699F">
        <w:rPr>
          <w:rFonts w:ascii="Times New Roman" w:hAnsi="Times New Roman" w:cs="Times New Roman"/>
          <w:sz w:val="24"/>
          <w:szCs w:val="24"/>
        </w:rPr>
        <w:t>Tannoury &amp; Attieh, 2017)</w:t>
      </w:r>
      <w:r w:rsidR="001436DA">
        <w:rPr>
          <w:rFonts w:ascii="Times New Roman" w:hAnsi="Times New Roman" w:cs="Times New Roman"/>
          <w:sz w:val="24"/>
          <w:szCs w:val="24"/>
        </w:rPr>
        <w:t>.</w:t>
      </w:r>
    </w:p>
    <w:p w:rsidR="009A148C" w:rsidRPr="001239F0" w:rsidP="00B96D55">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apart from the rise in demand, there is also the diversity of the pharmaceutical requirements, which is growing as the emerging markets continue to handle the challenge of non-communicable diseases increasingly prevalent in the economies that are wealthier such as hypertension and diabetes and also the infectious diseases that afflict most of the emerging markets like tuberculosis, malaria and AIDS. The diabetes incidence in specific is projected to rise in the majority of the emerging markets and stir the pharmaceutical products to demand both locally and globally</w:t>
      </w:r>
      <w:r w:rsidR="0002699F">
        <w:rPr>
          <w:rFonts w:ascii="Times New Roman" w:hAnsi="Times New Roman" w:cs="Times New Roman"/>
          <w:sz w:val="24"/>
          <w:szCs w:val="24"/>
        </w:rPr>
        <w:t xml:space="preserve"> </w:t>
      </w:r>
      <w:r w:rsidRPr="0002699F" w:rsidR="0002699F">
        <w:rPr>
          <w:rFonts w:ascii="Times New Roman" w:hAnsi="Times New Roman" w:cs="Times New Roman"/>
          <w:sz w:val="24"/>
          <w:szCs w:val="24"/>
        </w:rPr>
        <w:t>(Tannoury &amp; Attieh, 2017)</w:t>
      </w:r>
      <w:r>
        <w:rPr>
          <w:rFonts w:ascii="Times New Roman" w:hAnsi="Times New Roman" w:cs="Times New Roman"/>
          <w:sz w:val="24"/>
          <w:szCs w:val="24"/>
        </w:rPr>
        <w:t xml:space="preserve">. However, despite the rise in demand for pharmaceutical products, innovation and local production </w:t>
      </w:r>
      <w:r w:rsidR="00B96D55">
        <w:rPr>
          <w:rFonts w:ascii="Times New Roman" w:hAnsi="Times New Roman" w:cs="Times New Roman"/>
          <w:sz w:val="24"/>
          <w:szCs w:val="24"/>
        </w:rPr>
        <w:t>continues to be limited in the less developed markets due to the required large part of human and other resources in establishing and enforcing intellectual property rights.</w:t>
      </w: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B96D55" w:rsidP="00BA5B39">
      <w:pPr>
        <w:jc w:val="center"/>
        <w:rPr>
          <w:rFonts w:ascii="Times New Roman" w:hAnsi="Times New Roman" w:cs="Times New Roman"/>
          <w:sz w:val="24"/>
          <w:szCs w:val="24"/>
        </w:rPr>
      </w:pPr>
    </w:p>
    <w:p w:rsidR="0002699F" w:rsidP="0002699F">
      <w:pPr>
        <w:rPr>
          <w:rFonts w:ascii="Times New Roman" w:hAnsi="Times New Roman" w:cs="Times New Roman"/>
          <w:sz w:val="24"/>
          <w:szCs w:val="24"/>
        </w:rPr>
      </w:pPr>
    </w:p>
    <w:p w:rsidR="0002699F" w:rsidRPr="001239F0" w:rsidP="0002699F">
      <w:pPr>
        <w:rPr>
          <w:rFonts w:ascii="Times New Roman" w:hAnsi="Times New Roman" w:cs="Times New Roman"/>
          <w:sz w:val="24"/>
          <w:szCs w:val="24"/>
        </w:rPr>
      </w:pPr>
      <w:r w:rsidRPr="001239F0">
        <w:rPr>
          <w:rFonts w:ascii="Times New Roman" w:hAnsi="Times New Roman" w:cs="Times New Roman"/>
          <w:sz w:val="24"/>
          <w:szCs w:val="24"/>
        </w:rPr>
        <w:br w:type="page"/>
      </w:r>
    </w:p>
    <w:p w:rsidR="0002699F" w:rsidP="0002699F">
      <w:pPr>
        <w:pStyle w:val="NormalWeb"/>
        <w:spacing w:line="480" w:lineRule="auto"/>
        <w:ind w:left="720" w:hanging="720"/>
        <w:jc w:val="center"/>
      </w:pPr>
      <w:r>
        <w:t>References</w:t>
      </w:r>
    </w:p>
    <w:p w:rsidR="0002699F" w:rsidP="001239F0">
      <w:pPr>
        <w:pStyle w:val="NormalWeb"/>
        <w:spacing w:line="480" w:lineRule="auto"/>
        <w:ind w:left="720" w:hanging="720"/>
      </w:pPr>
      <w:r>
        <w:t xml:space="preserve">Ganti, A. (2020). </w:t>
      </w:r>
      <w:r>
        <w:rPr>
          <w:i/>
          <w:iCs/>
        </w:rPr>
        <w:t>What Is a Minsky Moment?</w:t>
      </w:r>
      <w:r>
        <w:t xml:space="preserve"> Investopedia. https://www.investopedia.com/terms/m/minskymoment.asp</w:t>
      </w:r>
    </w:p>
    <w:p w:rsidR="0002699F" w:rsidP="001239F0">
      <w:pPr>
        <w:pStyle w:val="NormalWeb"/>
        <w:spacing w:line="480" w:lineRule="auto"/>
        <w:ind w:left="720" w:hanging="720"/>
      </w:pPr>
      <w:r>
        <w:t xml:space="preserve">GlaxoSmithKline plc. (, 2008). </w:t>
      </w:r>
      <w:r>
        <w:rPr>
          <w:i/>
          <w:iCs/>
        </w:rPr>
        <w:t>Pricing and access strategies | GSK</w:t>
      </w:r>
      <w:r>
        <w:t>. https://www.gsk.com/en-gb/responsibility/improving-health-glob</w:t>
      </w:r>
      <w:bookmarkStart w:id="0" w:name="_GoBack"/>
      <w:bookmarkEnd w:id="0"/>
      <w:r>
        <w:t>ally/pricing-and-access-strategies/</w:t>
      </w:r>
    </w:p>
    <w:p w:rsidR="0002699F" w:rsidP="001239F0">
      <w:pPr>
        <w:pStyle w:val="NormalWeb"/>
        <w:spacing w:line="480" w:lineRule="auto"/>
        <w:ind w:left="720" w:hanging="720"/>
      </w:pPr>
      <w:r>
        <w:t xml:space="preserve">Hansell, G., Kotzen, J., Olsen, E., &amp; Farag, H. (2021, January 8). </w:t>
      </w:r>
      <w:r>
        <w:rPr>
          <w:i/>
          <w:iCs/>
        </w:rPr>
        <w:t>Bristol-Myers Squibb: Reshaping the Portfolio to Create Superior Shareholder Value</w:t>
      </w:r>
      <w:r>
        <w:t>. BCG Global. https://www.bcg.com/publications/2016/value-creation-strategy-corporate-development-bristol-myers-squibb</w:t>
      </w:r>
    </w:p>
    <w:p w:rsidR="0002699F" w:rsidP="001239F0">
      <w:pPr>
        <w:pStyle w:val="NormalWeb"/>
        <w:spacing w:line="480" w:lineRule="auto"/>
        <w:ind w:left="720" w:hanging="720"/>
      </w:pPr>
      <w:r>
        <w:t xml:space="preserve">Johnson and Johnson. (, 2019). </w:t>
      </w:r>
      <w:r>
        <w:rPr>
          <w:i/>
          <w:iCs/>
        </w:rPr>
        <w:t>Johnson &amp; Johnson</w:t>
      </w:r>
      <w:r>
        <w:t>. Content Lab U.S. https://www.jnj.com/johnson-johnson-outlines-strategy-to-deliver-above-market-growth-at-2019-pharmaceutical-business-review</w:t>
      </w:r>
    </w:p>
    <w:p w:rsidR="0002699F" w:rsidP="001239F0">
      <w:pPr>
        <w:pStyle w:val="NormalWeb"/>
        <w:spacing w:line="480" w:lineRule="auto"/>
        <w:ind w:left="720" w:hanging="720"/>
      </w:pPr>
      <w:r>
        <w:t xml:space="preserve">Karmakar, D. (2015, November 30). </w:t>
      </w:r>
      <w:r>
        <w:rPr>
          <w:i/>
          <w:iCs/>
        </w:rPr>
        <w:t>The Keynesian Theory of Investment (With Diagram and Example)</w:t>
      </w:r>
      <w:r>
        <w:t>. Economics Discussion. https://www.economicsdiscussion.net/keynesian-economics/keynes-theory/the-keynesian-theory-of-investment-with-diagram-and-example/16056</w:t>
      </w:r>
    </w:p>
    <w:p w:rsidR="0002699F" w:rsidP="001239F0">
      <w:pPr>
        <w:pStyle w:val="NormalWeb"/>
        <w:spacing w:line="480" w:lineRule="auto"/>
        <w:ind w:left="720" w:hanging="720"/>
      </w:pPr>
      <w:r>
        <w:t xml:space="preserve">Kelly, R. C. (2020). </w:t>
      </w:r>
      <w:r>
        <w:rPr>
          <w:i/>
          <w:iCs/>
        </w:rPr>
        <w:t>Using Unbiased Expectations Theory to Compare Bond Investments</w:t>
      </w:r>
      <w:r>
        <w:t>. Investopedia. https://www.investopedia.com/terms/e/expectationstheory.asp#:%7E:text=Expectations%20theory%20attempts%20to%20predict,one%20two%2Dyear%20bond%20today.</w:t>
      </w:r>
    </w:p>
    <w:p w:rsidR="0002699F" w:rsidP="001239F0">
      <w:pPr>
        <w:pStyle w:val="NormalWeb"/>
        <w:spacing w:line="480" w:lineRule="auto"/>
        <w:ind w:left="720" w:hanging="720"/>
      </w:pPr>
      <w:r>
        <w:t xml:space="preserve">Kopp, C. M. (2020). </w:t>
      </w:r>
      <w:r>
        <w:rPr>
          <w:i/>
          <w:iCs/>
        </w:rPr>
        <w:t>Agency Theory</w:t>
      </w:r>
      <w:r>
        <w:t>. Investopedia. https://www.investopedia.com/terms/a/agencytheory.asp#:%7E:text=Agency%20theory%20is%20a%20principle,and%20company%20executives%2C%20as%20agents.</w:t>
      </w:r>
    </w:p>
    <w:p w:rsidR="0002699F" w:rsidP="001239F0">
      <w:pPr>
        <w:pStyle w:val="NormalWeb"/>
        <w:spacing w:line="480" w:lineRule="auto"/>
        <w:ind w:left="720" w:hanging="720"/>
      </w:pPr>
      <w:r>
        <w:t xml:space="preserve">Merck. (, 2019). </w:t>
      </w:r>
      <w:r>
        <w:rPr>
          <w:i/>
          <w:iCs/>
        </w:rPr>
        <w:t>Strategy | Merck Annual Report 2019</w:t>
      </w:r>
      <w:r>
        <w:t>. Merckgroup.Com. https://www.merckgroup.com/en/annualreport/2019/combined-management-report/fundamental-information-about-the-group/strategy.html</w:t>
      </w:r>
    </w:p>
    <w:p w:rsidR="0002699F" w:rsidP="001239F0">
      <w:pPr>
        <w:pStyle w:val="NormalWeb"/>
        <w:spacing w:line="480" w:lineRule="auto"/>
        <w:ind w:left="720" w:hanging="720"/>
      </w:pPr>
      <w:r>
        <w:t xml:space="preserve">Pfizer. (, 2019). </w:t>
      </w:r>
      <w:r>
        <w:rPr>
          <w:i/>
          <w:iCs/>
        </w:rPr>
        <w:t>Pfizer Inc. - Financials - Annual Reports</w:t>
      </w:r>
      <w:r>
        <w:t xml:space="preserve">. Pfizer.Inc. </w:t>
      </w:r>
      <w:hyperlink r:id="rId7" w:history="1">
        <w:r w:rsidRPr="002D249D">
          <w:rPr>
            <w:rStyle w:val="Hyperlink"/>
          </w:rPr>
          <w:t>https://investors.pfizer.com/financials/annual-reports/default.aspx</w:t>
        </w:r>
      </w:hyperlink>
    </w:p>
    <w:p w:rsidR="0002699F" w:rsidP="001239F0">
      <w:pPr>
        <w:pStyle w:val="NormalWeb"/>
        <w:spacing w:line="480" w:lineRule="auto"/>
        <w:ind w:left="720" w:hanging="720"/>
      </w:pPr>
      <w:r w:rsidRPr="00B96D55">
        <w:t>Tannoury, M., &amp; Attieh, Z. (2017). The influence of emerging markets on the pharmaceutical industry. Current therapeutic research, 86, 19-22.</w:t>
      </w:r>
    </w:p>
    <w:p w:rsidR="00C33BCE" w:rsidRPr="001239F0" w:rsidP="003B7EBB">
      <w:pPr>
        <w:spacing w:line="480" w:lineRule="auto"/>
        <w:rPr>
          <w:rFonts w:ascii="Times New Roman" w:hAnsi="Times New Roman" w:cs="Times New Roman"/>
          <w:sz w:val="24"/>
          <w:szCs w:val="24"/>
        </w:rPr>
      </w:pPr>
      <w:r w:rsidRPr="001239F0">
        <w:rPr>
          <w:rFonts w:ascii="Times New Roman" w:hAnsi="Times New Roman" w:cs="Times New Roman"/>
          <w:sz w:val="24"/>
          <w:szCs w:val="24"/>
        </w:rPr>
        <w:t>Appendix</w:t>
      </w:r>
      <w:r w:rsidRPr="001239F0">
        <w:rPr>
          <w:rFonts w:ascii="Times New Roman" w:hAnsi="Times New Roman" w:cs="Times New Roman"/>
          <w:sz w:val="24"/>
          <w:szCs w:val="24"/>
        </w:rPr>
        <w:t xml:space="preserve"> 1: </w:t>
      </w:r>
      <w:r w:rsidRPr="001239F0" w:rsidR="009472E8">
        <w:rPr>
          <w:rFonts w:ascii="Times New Roman" w:hAnsi="Times New Roman" w:cs="Times New Roman"/>
          <w:sz w:val="24"/>
          <w:szCs w:val="24"/>
        </w:rPr>
        <w:t>A table to illustrate the w</w:t>
      </w:r>
      <w:r w:rsidRPr="001239F0">
        <w:rPr>
          <w:rFonts w:ascii="Times New Roman" w:hAnsi="Times New Roman" w:cs="Times New Roman"/>
          <w:sz w:val="24"/>
          <w:szCs w:val="24"/>
        </w:rPr>
        <w:t>orking capital of each Company.</w:t>
      </w:r>
    </w:p>
    <w:tbl>
      <w:tblPr>
        <w:tblW w:w="10720" w:type="dxa"/>
        <w:tblInd w:w="-668" w:type="dxa"/>
        <w:tblLook w:val="04A0"/>
      </w:tblPr>
      <w:tblGrid>
        <w:gridCol w:w="1731"/>
        <w:gridCol w:w="1641"/>
        <w:gridCol w:w="948"/>
        <w:gridCol w:w="1076"/>
        <w:gridCol w:w="2003"/>
        <w:gridCol w:w="1412"/>
        <w:gridCol w:w="1909"/>
      </w:tblGrid>
      <w:tr w:rsidTr="00C33BCE">
        <w:tblPrEx>
          <w:tblW w:w="10720" w:type="dxa"/>
          <w:tblInd w:w="-668" w:type="dxa"/>
          <w:tblLook w:val="04A0"/>
        </w:tblPrEx>
        <w:trPr>
          <w:trHeight w:val="885"/>
        </w:trPr>
        <w:tc>
          <w:tcPr>
            <w:tcW w:w="1731" w:type="dxa"/>
            <w:tcBorders>
              <w:top w:val="single" w:sz="4" w:space="0" w:color="auto"/>
              <w:left w:val="single" w:sz="4" w:space="0" w:color="auto"/>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 </w:t>
            </w:r>
          </w:p>
        </w:tc>
        <w:tc>
          <w:tcPr>
            <w:tcW w:w="1641" w:type="dxa"/>
            <w:tcBorders>
              <w:top w:val="single" w:sz="4" w:space="0" w:color="auto"/>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 </w:t>
            </w:r>
          </w:p>
        </w:tc>
        <w:tc>
          <w:tcPr>
            <w:tcW w:w="7348" w:type="dxa"/>
            <w:gridSpan w:val="5"/>
            <w:tcBorders>
              <w:top w:val="single" w:sz="4" w:space="0" w:color="auto"/>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FINANCIAL VARIABLES FOR THE COMPANIES’ DURING 2015-2019(In billions)</w:t>
            </w:r>
          </w:p>
        </w:tc>
      </w:tr>
      <w:tr w:rsidTr="00C33BCE">
        <w:tblPrEx>
          <w:tblW w:w="10720" w:type="dxa"/>
          <w:tblInd w:w="-668" w:type="dxa"/>
          <w:tblLook w:val="04A0"/>
        </w:tblPrEx>
        <w:trPr>
          <w:trHeight w:val="330"/>
        </w:trPr>
        <w:tc>
          <w:tcPr>
            <w:tcW w:w="1731" w:type="dxa"/>
            <w:tcBorders>
              <w:top w:val="nil"/>
              <w:left w:val="single" w:sz="4" w:space="0" w:color="auto"/>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 </w:t>
            </w:r>
          </w:p>
        </w:tc>
        <w:tc>
          <w:tcPr>
            <w:tcW w:w="1641"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Year</w:t>
            </w:r>
          </w:p>
        </w:tc>
        <w:tc>
          <w:tcPr>
            <w:tcW w:w="7348" w:type="dxa"/>
            <w:gridSpan w:val="5"/>
            <w:tcBorders>
              <w:top w:val="single" w:sz="4" w:space="0" w:color="auto"/>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2015</w:t>
            </w:r>
          </w:p>
        </w:tc>
      </w:tr>
      <w:tr w:rsidTr="00C33BCE">
        <w:tblPrEx>
          <w:tblW w:w="10720" w:type="dxa"/>
          <w:tblInd w:w="-668" w:type="dxa"/>
          <w:tblLook w:val="04A0"/>
        </w:tblPrEx>
        <w:trPr>
          <w:trHeight w:val="945"/>
        </w:trPr>
        <w:tc>
          <w:tcPr>
            <w:tcW w:w="1731" w:type="dxa"/>
            <w:tcBorders>
              <w:top w:val="nil"/>
              <w:left w:val="single" w:sz="4" w:space="0" w:color="auto"/>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Variable/Year</w:t>
            </w:r>
          </w:p>
        </w:tc>
        <w:tc>
          <w:tcPr>
            <w:tcW w:w="1641"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 </w:t>
            </w:r>
          </w:p>
        </w:tc>
        <w:tc>
          <w:tcPr>
            <w:tcW w:w="948"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Pfizer</w:t>
            </w:r>
          </w:p>
        </w:tc>
        <w:tc>
          <w:tcPr>
            <w:tcW w:w="1076"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Merck</w:t>
            </w:r>
          </w:p>
        </w:tc>
        <w:tc>
          <w:tcPr>
            <w:tcW w:w="2003"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GlaxoSmithKline</w:t>
            </w:r>
          </w:p>
        </w:tc>
        <w:tc>
          <w:tcPr>
            <w:tcW w:w="1412"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Bristol-Myers Squibb</w:t>
            </w:r>
          </w:p>
        </w:tc>
        <w:tc>
          <w:tcPr>
            <w:tcW w:w="1909"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 xml:space="preserve">Johnson &amp; Johnson </w:t>
            </w:r>
          </w:p>
        </w:tc>
      </w:tr>
      <w:tr w:rsidTr="00C33BCE">
        <w:tblPrEx>
          <w:tblW w:w="10720" w:type="dxa"/>
          <w:tblInd w:w="-668" w:type="dxa"/>
          <w:tblLook w:val="04A0"/>
        </w:tblPrEx>
        <w:trPr>
          <w:trHeight w:val="315"/>
        </w:trPr>
        <w:tc>
          <w:tcPr>
            <w:tcW w:w="1731" w:type="dxa"/>
            <w:vMerge w:val="restart"/>
            <w:tcBorders>
              <w:top w:val="nil"/>
              <w:left w:val="single" w:sz="4" w:space="0" w:color="auto"/>
              <w:bottom w:val="single" w:sz="4" w:space="0" w:color="000000"/>
              <w:right w:val="single" w:sz="4" w:space="0" w:color="auto"/>
            </w:tcBorders>
            <w:shd w:val="clear" w:color="auto" w:fill="auto"/>
            <w:vAlign w:val="center"/>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Operating Profit</w:t>
            </w:r>
          </w:p>
        </w:tc>
        <w:tc>
          <w:tcPr>
            <w:tcW w:w="1641"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2015</w:t>
            </w:r>
          </w:p>
        </w:tc>
        <w:tc>
          <w:tcPr>
            <w:tcW w:w="948"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11.824</w:t>
            </w:r>
          </w:p>
        </w:tc>
        <w:tc>
          <w:tcPr>
            <w:tcW w:w="1076"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7.547</w:t>
            </w:r>
          </w:p>
        </w:tc>
        <w:tc>
          <w:tcPr>
            <w:tcW w:w="2003"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15.782</w:t>
            </w:r>
          </w:p>
        </w:tc>
        <w:tc>
          <w:tcPr>
            <w:tcW w:w="1412"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2.077</w:t>
            </w:r>
          </w:p>
        </w:tc>
        <w:tc>
          <w:tcPr>
            <w:tcW w:w="1909"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19.196</w:t>
            </w:r>
          </w:p>
        </w:tc>
      </w:tr>
      <w:tr w:rsidTr="00C33BCE">
        <w:tblPrEx>
          <w:tblW w:w="10720" w:type="dxa"/>
          <w:tblInd w:w="-668" w:type="dxa"/>
          <w:tblLook w:val="04A0"/>
        </w:tblPrEx>
        <w:trPr>
          <w:trHeight w:val="315"/>
        </w:trPr>
        <w:tc>
          <w:tcPr>
            <w:tcW w:w="1731" w:type="dxa"/>
            <w:vMerge/>
            <w:tcBorders>
              <w:top w:val="nil"/>
              <w:left w:val="single" w:sz="4" w:space="0" w:color="auto"/>
              <w:bottom w:val="single" w:sz="4" w:space="0" w:color="000000"/>
              <w:right w:val="single" w:sz="4" w:space="0" w:color="auto"/>
            </w:tcBorders>
            <w:vAlign w:val="center"/>
            <w:hideMark/>
          </w:tcPr>
          <w:p w:rsidR="00C33BCE" w:rsidRPr="00C33BCE" w:rsidP="00C33BCE">
            <w:pPr>
              <w:spacing w:after="0" w:line="240" w:lineRule="auto"/>
              <w:rPr>
                <w:rFonts w:ascii="Times New Roman" w:eastAsia="Times New Roman" w:hAnsi="Times New Roman" w:cs="Times New Roman"/>
                <w:b/>
                <w:bCs/>
                <w:color w:val="000000"/>
                <w:sz w:val="24"/>
                <w:szCs w:val="24"/>
              </w:rPr>
            </w:pPr>
          </w:p>
        </w:tc>
        <w:tc>
          <w:tcPr>
            <w:tcW w:w="1641"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2016</w:t>
            </w:r>
          </w:p>
        </w:tc>
        <w:tc>
          <w:tcPr>
            <w:tcW w:w="948"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12.145</w:t>
            </w:r>
          </w:p>
        </w:tc>
        <w:tc>
          <w:tcPr>
            <w:tcW w:w="1076"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5.499</w:t>
            </w:r>
          </w:p>
        </w:tc>
        <w:tc>
          <w:tcPr>
            <w:tcW w:w="2003"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3.521</w:t>
            </w:r>
          </w:p>
        </w:tc>
        <w:tc>
          <w:tcPr>
            <w:tcW w:w="1412"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5.915</w:t>
            </w:r>
          </w:p>
        </w:tc>
        <w:tc>
          <w:tcPr>
            <w:tcW w:w="1909"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19.803</w:t>
            </w:r>
          </w:p>
        </w:tc>
      </w:tr>
      <w:tr w:rsidTr="00C33BCE">
        <w:tblPrEx>
          <w:tblW w:w="10720" w:type="dxa"/>
          <w:tblInd w:w="-668" w:type="dxa"/>
          <w:tblLook w:val="04A0"/>
        </w:tblPrEx>
        <w:trPr>
          <w:trHeight w:val="315"/>
        </w:trPr>
        <w:tc>
          <w:tcPr>
            <w:tcW w:w="1731" w:type="dxa"/>
            <w:vMerge/>
            <w:tcBorders>
              <w:top w:val="nil"/>
              <w:left w:val="single" w:sz="4" w:space="0" w:color="auto"/>
              <w:bottom w:val="single" w:sz="4" w:space="0" w:color="000000"/>
              <w:right w:val="single" w:sz="4" w:space="0" w:color="auto"/>
            </w:tcBorders>
            <w:vAlign w:val="center"/>
            <w:hideMark/>
          </w:tcPr>
          <w:p w:rsidR="00C33BCE" w:rsidRPr="00C33BCE" w:rsidP="00C33BCE">
            <w:pPr>
              <w:spacing w:after="0" w:line="240" w:lineRule="auto"/>
              <w:rPr>
                <w:rFonts w:ascii="Times New Roman" w:eastAsia="Times New Roman" w:hAnsi="Times New Roman" w:cs="Times New Roman"/>
                <w:b/>
                <w:bCs/>
                <w:color w:val="000000"/>
                <w:sz w:val="24"/>
                <w:szCs w:val="24"/>
              </w:rPr>
            </w:pPr>
          </w:p>
        </w:tc>
        <w:tc>
          <w:tcPr>
            <w:tcW w:w="1641"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2017</w:t>
            </w:r>
          </w:p>
        </w:tc>
        <w:tc>
          <w:tcPr>
            <w:tcW w:w="948"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13.722</w:t>
            </w:r>
          </w:p>
        </w:tc>
        <w:tc>
          <w:tcPr>
            <w:tcW w:w="1076"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6.797</w:t>
            </w:r>
          </w:p>
        </w:tc>
        <w:tc>
          <w:tcPr>
            <w:tcW w:w="2003"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5.267</w:t>
            </w:r>
          </w:p>
        </w:tc>
        <w:tc>
          <w:tcPr>
            <w:tcW w:w="1412"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5.131</w:t>
            </w:r>
          </w:p>
        </w:tc>
        <w:tc>
          <w:tcPr>
            <w:tcW w:w="1909"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17.673</w:t>
            </w:r>
          </w:p>
        </w:tc>
      </w:tr>
      <w:tr w:rsidTr="00C33BCE">
        <w:tblPrEx>
          <w:tblW w:w="10720" w:type="dxa"/>
          <w:tblInd w:w="-668" w:type="dxa"/>
          <w:tblLook w:val="04A0"/>
        </w:tblPrEx>
        <w:trPr>
          <w:trHeight w:val="315"/>
        </w:trPr>
        <w:tc>
          <w:tcPr>
            <w:tcW w:w="1731" w:type="dxa"/>
            <w:vMerge/>
            <w:tcBorders>
              <w:top w:val="nil"/>
              <w:left w:val="single" w:sz="4" w:space="0" w:color="auto"/>
              <w:bottom w:val="single" w:sz="4" w:space="0" w:color="000000"/>
              <w:right w:val="single" w:sz="4" w:space="0" w:color="auto"/>
            </w:tcBorders>
            <w:vAlign w:val="center"/>
            <w:hideMark/>
          </w:tcPr>
          <w:p w:rsidR="00C33BCE" w:rsidRPr="00C33BCE" w:rsidP="00C33BCE">
            <w:pPr>
              <w:spacing w:after="0" w:line="240" w:lineRule="auto"/>
              <w:rPr>
                <w:rFonts w:ascii="Times New Roman" w:eastAsia="Times New Roman" w:hAnsi="Times New Roman" w:cs="Times New Roman"/>
                <w:b/>
                <w:bCs/>
                <w:color w:val="000000"/>
                <w:sz w:val="24"/>
                <w:szCs w:val="24"/>
              </w:rPr>
            </w:pPr>
          </w:p>
        </w:tc>
        <w:tc>
          <w:tcPr>
            <w:tcW w:w="1641"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2018</w:t>
            </w:r>
          </w:p>
        </w:tc>
        <w:tc>
          <w:tcPr>
            <w:tcW w:w="948"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14.001</w:t>
            </w:r>
          </w:p>
        </w:tc>
        <w:tc>
          <w:tcPr>
            <w:tcW w:w="1076"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8.931</w:t>
            </w:r>
          </w:p>
        </w:tc>
        <w:tc>
          <w:tcPr>
            <w:tcW w:w="2003"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7.318</w:t>
            </w:r>
          </w:p>
        </w:tc>
        <w:tc>
          <w:tcPr>
            <w:tcW w:w="1412"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5.968</w:t>
            </w:r>
          </w:p>
        </w:tc>
        <w:tc>
          <w:tcPr>
            <w:tcW w:w="1909"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17.328</w:t>
            </w:r>
          </w:p>
        </w:tc>
      </w:tr>
      <w:tr w:rsidTr="00C33BCE">
        <w:tblPrEx>
          <w:tblW w:w="10720" w:type="dxa"/>
          <w:tblInd w:w="-668" w:type="dxa"/>
          <w:tblLook w:val="04A0"/>
        </w:tblPrEx>
        <w:trPr>
          <w:trHeight w:val="315"/>
        </w:trPr>
        <w:tc>
          <w:tcPr>
            <w:tcW w:w="1731" w:type="dxa"/>
            <w:vMerge/>
            <w:tcBorders>
              <w:top w:val="nil"/>
              <w:left w:val="single" w:sz="4" w:space="0" w:color="auto"/>
              <w:bottom w:val="single" w:sz="4" w:space="0" w:color="000000"/>
              <w:right w:val="single" w:sz="4" w:space="0" w:color="auto"/>
            </w:tcBorders>
            <w:vAlign w:val="center"/>
            <w:hideMark/>
          </w:tcPr>
          <w:p w:rsidR="00C33BCE" w:rsidRPr="00C33BCE" w:rsidP="00C33BCE">
            <w:pPr>
              <w:spacing w:after="0" w:line="240" w:lineRule="auto"/>
              <w:rPr>
                <w:rFonts w:ascii="Times New Roman" w:eastAsia="Times New Roman" w:hAnsi="Times New Roman" w:cs="Times New Roman"/>
                <w:b/>
                <w:bCs/>
                <w:color w:val="000000"/>
                <w:sz w:val="24"/>
                <w:szCs w:val="24"/>
              </w:rPr>
            </w:pPr>
          </w:p>
        </w:tc>
        <w:tc>
          <w:tcPr>
            <w:tcW w:w="1641"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b/>
                <w:bCs/>
                <w:color w:val="000000"/>
                <w:sz w:val="24"/>
                <w:szCs w:val="24"/>
              </w:rPr>
            </w:pPr>
            <w:r w:rsidRPr="00C33BCE">
              <w:rPr>
                <w:rFonts w:ascii="Times New Roman" w:eastAsia="Times New Roman" w:hAnsi="Times New Roman" w:cs="Times New Roman"/>
                <w:b/>
                <w:bCs/>
                <w:color w:val="000000"/>
                <w:sz w:val="24"/>
                <w:szCs w:val="24"/>
              </w:rPr>
              <w:t>2019</w:t>
            </w:r>
          </w:p>
        </w:tc>
        <w:tc>
          <w:tcPr>
            <w:tcW w:w="948"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13.174</w:t>
            </w:r>
          </w:p>
        </w:tc>
        <w:tc>
          <w:tcPr>
            <w:tcW w:w="1076"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12.241</w:t>
            </w:r>
          </w:p>
        </w:tc>
        <w:tc>
          <w:tcPr>
            <w:tcW w:w="2003"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8.888</w:t>
            </w:r>
          </w:p>
        </w:tc>
        <w:tc>
          <w:tcPr>
            <w:tcW w:w="1412"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4.975</w:t>
            </w:r>
          </w:p>
        </w:tc>
        <w:tc>
          <w:tcPr>
            <w:tcW w:w="1909" w:type="dxa"/>
            <w:tcBorders>
              <w:top w:val="nil"/>
              <w:left w:val="nil"/>
              <w:bottom w:val="single" w:sz="4" w:space="0" w:color="auto"/>
              <w:right w:val="single" w:sz="4" w:space="0" w:color="auto"/>
            </w:tcBorders>
            <w:shd w:val="clear" w:color="auto" w:fill="auto"/>
            <w:hideMark/>
          </w:tcPr>
          <w:p w:rsidR="00C33BCE" w:rsidRPr="00C33BCE" w:rsidP="00C33BCE">
            <w:pPr>
              <w:spacing w:after="0" w:line="240" w:lineRule="auto"/>
              <w:rPr>
                <w:rFonts w:ascii="Times New Roman" w:eastAsia="Times New Roman" w:hAnsi="Times New Roman" w:cs="Times New Roman"/>
                <w:color w:val="000000"/>
                <w:sz w:val="24"/>
                <w:szCs w:val="24"/>
              </w:rPr>
            </w:pPr>
            <w:r w:rsidRPr="00C33BCE">
              <w:rPr>
                <w:rFonts w:ascii="Times New Roman" w:eastAsia="Times New Roman" w:hAnsi="Times New Roman" w:cs="Times New Roman"/>
                <w:color w:val="000000"/>
                <w:sz w:val="24"/>
                <w:szCs w:val="24"/>
              </w:rPr>
              <w:t>17.328</w:t>
            </w:r>
          </w:p>
        </w:tc>
      </w:tr>
    </w:tbl>
    <w:p w:rsidR="003B7EBB" w:rsidRPr="001239F0" w:rsidP="003B7EBB">
      <w:pPr>
        <w:spacing w:line="480" w:lineRule="auto"/>
        <w:rPr>
          <w:rFonts w:ascii="Times New Roman" w:hAnsi="Times New Roman" w:cs="Times New Roman"/>
          <w:sz w:val="24"/>
          <w:szCs w:val="24"/>
        </w:rPr>
      </w:pPr>
      <w:r w:rsidRPr="001239F0">
        <w:rPr>
          <w:rFonts w:ascii="Times New Roman" w:hAnsi="Times New Roman" w:cs="Times New Roman"/>
          <w:sz w:val="24"/>
          <w:szCs w:val="24"/>
        </w:rPr>
        <w:t xml:space="preserve"> </w:t>
      </w:r>
    </w:p>
    <w:p w:rsidR="00C33BCE" w:rsidRPr="001239F0" w:rsidP="003B7EBB">
      <w:pPr>
        <w:spacing w:line="480" w:lineRule="auto"/>
        <w:rPr>
          <w:rFonts w:ascii="Times New Roman" w:hAnsi="Times New Roman" w:cs="Times New Roman"/>
          <w:sz w:val="24"/>
          <w:szCs w:val="24"/>
        </w:rPr>
      </w:pPr>
      <w:r w:rsidRPr="001239F0">
        <w:rPr>
          <w:rFonts w:ascii="Times New Roman" w:hAnsi="Times New Roman" w:cs="Times New Roman"/>
          <w:sz w:val="24"/>
          <w:szCs w:val="24"/>
        </w:rPr>
        <w:t>Appendix 2: A table to illustrate the dividend earned from both external and internal shares sold of each Company</w:t>
      </w:r>
    </w:p>
    <w:tbl>
      <w:tblPr>
        <w:tblW w:w="11224" w:type="dxa"/>
        <w:tblInd w:w="-900" w:type="dxa"/>
        <w:tblLook w:val="04A0"/>
      </w:tblPr>
      <w:tblGrid>
        <w:gridCol w:w="2651"/>
        <w:gridCol w:w="1267"/>
        <w:gridCol w:w="900"/>
        <w:gridCol w:w="2011"/>
        <w:gridCol w:w="2329"/>
        <w:gridCol w:w="2066"/>
      </w:tblGrid>
      <w:tr w:rsidTr="000D159C">
        <w:tblPrEx>
          <w:tblW w:w="11224" w:type="dxa"/>
          <w:tblInd w:w="-900" w:type="dxa"/>
          <w:tblLook w:val="04A0"/>
        </w:tblPrEx>
        <w:trPr>
          <w:trHeight w:val="394"/>
        </w:trPr>
        <w:tc>
          <w:tcPr>
            <w:tcW w:w="2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59C" w:rsidRPr="000D159C" w:rsidP="000D159C">
            <w:pPr>
              <w:spacing w:after="0" w:line="240" w:lineRule="auto"/>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 </w:t>
            </w:r>
          </w:p>
        </w:tc>
        <w:tc>
          <w:tcPr>
            <w:tcW w:w="857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D159C" w:rsidRPr="000D159C" w:rsidP="000D159C">
            <w:pPr>
              <w:spacing w:after="0" w:line="240" w:lineRule="auto"/>
              <w:jc w:val="center"/>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Dividend Announcements from 2015 T0 2019</w:t>
            </w:r>
          </w:p>
        </w:tc>
      </w:tr>
      <w:tr w:rsidTr="000D159C">
        <w:tblPrEx>
          <w:tblW w:w="11224" w:type="dxa"/>
          <w:tblInd w:w="-900" w:type="dxa"/>
          <w:tblLook w:val="04A0"/>
        </w:tblPrEx>
        <w:trPr>
          <w:trHeight w:val="394"/>
        </w:trPr>
        <w:tc>
          <w:tcPr>
            <w:tcW w:w="2651" w:type="dxa"/>
            <w:tcBorders>
              <w:top w:val="nil"/>
              <w:left w:val="single" w:sz="4" w:space="0" w:color="auto"/>
              <w:bottom w:val="single" w:sz="4" w:space="0" w:color="auto"/>
              <w:right w:val="single" w:sz="4" w:space="0" w:color="auto"/>
            </w:tcBorders>
            <w:shd w:val="clear" w:color="auto" w:fill="auto"/>
            <w:vAlign w:val="center"/>
            <w:hideMark/>
          </w:tcPr>
          <w:p w:rsidR="000D159C" w:rsidRPr="000D159C" w:rsidP="000D159C">
            <w:pPr>
              <w:spacing w:after="0" w:line="240" w:lineRule="auto"/>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Date</w:t>
            </w:r>
          </w:p>
        </w:tc>
        <w:tc>
          <w:tcPr>
            <w:tcW w:w="1267" w:type="dxa"/>
            <w:tcBorders>
              <w:top w:val="nil"/>
              <w:left w:val="nil"/>
              <w:bottom w:val="single" w:sz="4" w:space="0" w:color="auto"/>
              <w:right w:val="single" w:sz="4" w:space="0" w:color="auto"/>
            </w:tcBorders>
            <w:shd w:val="clear" w:color="auto" w:fill="auto"/>
            <w:noWrap/>
            <w:hideMark/>
          </w:tcPr>
          <w:p w:rsidR="000D159C" w:rsidRPr="000D159C" w:rsidP="000D159C">
            <w:pPr>
              <w:spacing w:after="0" w:line="240" w:lineRule="auto"/>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Pfizer</w:t>
            </w:r>
          </w:p>
        </w:tc>
        <w:tc>
          <w:tcPr>
            <w:tcW w:w="900" w:type="dxa"/>
            <w:tcBorders>
              <w:top w:val="nil"/>
              <w:left w:val="nil"/>
              <w:bottom w:val="single" w:sz="4" w:space="0" w:color="auto"/>
              <w:right w:val="single" w:sz="4" w:space="0" w:color="auto"/>
            </w:tcBorders>
            <w:shd w:val="clear" w:color="auto" w:fill="auto"/>
            <w:noWrap/>
            <w:hideMark/>
          </w:tcPr>
          <w:p w:rsidR="000D159C" w:rsidRPr="000D159C" w:rsidP="000D159C">
            <w:pPr>
              <w:spacing w:after="0" w:line="240" w:lineRule="auto"/>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Merck</w:t>
            </w:r>
          </w:p>
        </w:tc>
        <w:tc>
          <w:tcPr>
            <w:tcW w:w="2011" w:type="dxa"/>
            <w:tcBorders>
              <w:top w:val="nil"/>
              <w:left w:val="nil"/>
              <w:bottom w:val="single" w:sz="4" w:space="0" w:color="auto"/>
              <w:right w:val="single" w:sz="4" w:space="0" w:color="auto"/>
            </w:tcBorders>
            <w:shd w:val="clear" w:color="auto" w:fill="auto"/>
            <w:noWrap/>
            <w:hideMark/>
          </w:tcPr>
          <w:p w:rsidR="000D159C" w:rsidRPr="000D159C" w:rsidP="000D159C">
            <w:pPr>
              <w:spacing w:after="0" w:line="240" w:lineRule="auto"/>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GlaxoSmithKline</w:t>
            </w:r>
          </w:p>
        </w:tc>
        <w:tc>
          <w:tcPr>
            <w:tcW w:w="2329" w:type="dxa"/>
            <w:tcBorders>
              <w:top w:val="nil"/>
              <w:left w:val="nil"/>
              <w:bottom w:val="single" w:sz="4" w:space="0" w:color="auto"/>
              <w:right w:val="single" w:sz="4" w:space="0" w:color="auto"/>
            </w:tcBorders>
            <w:shd w:val="clear" w:color="auto" w:fill="auto"/>
            <w:noWrap/>
            <w:hideMark/>
          </w:tcPr>
          <w:p w:rsidR="000D159C" w:rsidRPr="000D159C" w:rsidP="000D159C">
            <w:pPr>
              <w:spacing w:after="0" w:line="240" w:lineRule="auto"/>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Bristol-Myers Squibb</w:t>
            </w:r>
          </w:p>
        </w:tc>
        <w:tc>
          <w:tcPr>
            <w:tcW w:w="2066" w:type="dxa"/>
            <w:tcBorders>
              <w:top w:val="nil"/>
              <w:left w:val="nil"/>
              <w:bottom w:val="single" w:sz="4" w:space="0" w:color="auto"/>
              <w:right w:val="single" w:sz="4" w:space="0" w:color="auto"/>
            </w:tcBorders>
            <w:shd w:val="clear" w:color="auto" w:fill="auto"/>
            <w:noWrap/>
            <w:hideMark/>
          </w:tcPr>
          <w:p w:rsidR="000D159C" w:rsidRPr="000D159C" w:rsidP="000D159C">
            <w:pPr>
              <w:spacing w:after="0" w:line="240" w:lineRule="auto"/>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 xml:space="preserve">Johnson &amp; Johnson </w:t>
            </w:r>
          </w:p>
        </w:tc>
      </w:tr>
      <w:tr w:rsidTr="000D159C">
        <w:tblPrEx>
          <w:tblW w:w="11224" w:type="dxa"/>
          <w:tblInd w:w="-900" w:type="dxa"/>
          <w:tblLook w:val="04A0"/>
        </w:tblPrEx>
        <w:trPr>
          <w:trHeight w:val="394"/>
        </w:trPr>
        <w:tc>
          <w:tcPr>
            <w:tcW w:w="2651" w:type="dxa"/>
            <w:tcBorders>
              <w:top w:val="nil"/>
              <w:left w:val="single" w:sz="4" w:space="0" w:color="auto"/>
              <w:bottom w:val="single" w:sz="4" w:space="0" w:color="auto"/>
              <w:right w:val="single" w:sz="4" w:space="0" w:color="auto"/>
            </w:tcBorders>
            <w:shd w:val="clear" w:color="auto" w:fill="auto"/>
            <w:vAlign w:val="center"/>
            <w:hideMark/>
          </w:tcPr>
          <w:p w:rsidR="000D159C" w:rsidRPr="000D159C" w:rsidP="000D159C">
            <w:pPr>
              <w:spacing w:after="0" w:line="240" w:lineRule="auto"/>
              <w:jc w:val="right"/>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2015</w:t>
            </w:r>
          </w:p>
        </w:tc>
        <w:tc>
          <w:tcPr>
            <w:tcW w:w="1267"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6.94</w:t>
            </w:r>
          </w:p>
        </w:tc>
        <w:tc>
          <w:tcPr>
            <w:tcW w:w="900"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5.12</w:t>
            </w:r>
          </w:p>
        </w:tc>
        <w:tc>
          <w:tcPr>
            <w:tcW w:w="2011"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3.87</w:t>
            </w:r>
          </w:p>
        </w:tc>
        <w:tc>
          <w:tcPr>
            <w:tcW w:w="2329"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2.48</w:t>
            </w:r>
          </w:p>
        </w:tc>
        <w:tc>
          <w:tcPr>
            <w:tcW w:w="2066"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8.17</w:t>
            </w:r>
          </w:p>
        </w:tc>
      </w:tr>
      <w:tr w:rsidTr="000D159C">
        <w:tblPrEx>
          <w:tblW w:w="11224" w:type="dxa"/>
          <w:tblInd w:w="-900" w:type="dxa"/>
          <w:tblLook w:val="04A0"/>
        </w:tblPrEx>
        <w:trPr>
          <w:trHeight w:val="394"/>
        </w:trPr>
        <w:tc>
          <w:tcPr>
            <w:tcW w:w="2651" w:type="dxa"/>
            <w:tcBorders>
              <w:top w:val="nil"/>
              <w:left w:val="single" w:sz="4" w:space="0" w:color="auto"/>
              <w:bottom w:val="single" w:sz="4" w:space="0" w:color="auto"/>
              <w:right w:val="single" w:sz="4" w:space="0" w:color="auto"/>
            </w:tcBorders>
            <w:shd w:val="clear" w:color="auto" w:fill="auto"/>
            <w:vAlign w:val="center"/>
            <w:hideMark/>
          </w:tcPr>
          <w:p w:rsidR="000D159C" w:rsidRPr="000D159C" w:rsidP="000D159C">
            <w:pPr>
              <w:spacing w:after="0" w:line="240" w:lineRule="auto"/>
              <w:jc w:val="right"/>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2016</w:t>
            </w:r>
          </w:p>
        </w:tc>
        <w:tc>
          <w:tcPr>
            <w:tcW w:w="1267"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7.32</w:t>
            </w:r>
          </w:p>
        </w:tc>
        <w:tc>
          <w:tcPr>
            <w:tcW w:w="900"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5.12</w:t>
            </w:r>
          </w:p>
        </w:tc>
        <w:tc>
          <w:tcPr>
            <w:tcW w:w="2011"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4.85</w:t>
            </w:r>
          </w:p>
        </w:tc>
        <w:tc>
          <w:tcPr>
            <w:tcW w:w="2329"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2.55</w:t>
            </w:r>
          </w:p>
        </w:tc>
        <w:tc>
          <w:tcPr>
            <w:tcW w:w="2066"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8.62</w:t>
            </w:r>
          </w:p>
        </w:tc>
      </w:tr>
      <w:tr w:rsidTr="000D159C">
        <w:tblPrEx>
          <w:tblW w:w="11224" w:type="dxa"/>
          <w:tblInd w:w="-900" w:type="dxa"/>
          <w:tblLook w:val="04A0"/>
        </w:tblPrEx>
        <w:trPr>
          <w:trHeight w:val="394"/>
        </w:trPr>
        <w:tc>
          <w:tcPr>
            <w:tcW w:w="2651" w:type="dxa"/>
            <w:tcBorders>
              <w:top w:val="nil"/>
              <w:left w:val="single" w:sz="4" w:space="0" w:color="auto"/>
              <w:bottom w:val="single" w:sz="4" w:space="0" w:color="auto"/>
              <w:right w:val="single" w:sz="4" w:space="0" w:color="auto"/>
            </w:tcBorders>
            <w:shd w:val="clear" w:color="auto" w:fill="auto"/>
            <w:vAlign w:val="center"/>
            <w:hideMark/>
          </w:tcPr>
          <w:p w:rsidR="000D159C" w:rsidRPr="000D159C" w:rsidP="000D159C">
            <w:pPr>
              <w:spacing w:after="0" w:line="240" w:lineRule="auto"/>
              <w:jc w:val="right"/>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2017</w:t>
            </w:r>
          </w:p>
        </w:tc>
        <w:tc>
          <w:tcPr>
            <w:tcW w:w="1267"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7.66</w:t>
            </w:r>
          </w:p>
        </w:tc>
        <w:tc>
          <w:tcPr>
            <w:tcW w:w="900"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5.17</w:t>
            </w:r>
          </w:p>
        </w:tc>
        <w:tc>
          <w:tcPr>
            <w:tcW w:w="2011"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3.91</w:t>
            </w:r>
          </w:p>
        </w:tc>
        <w:tc>
          <w:tcPr>
            <w:tcW w:w="2329"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2.58</w:t>
            </w:r>
          </w:p>
        </w:tc>
        <w:tc>
          <w:tcPr>
            <w:tcW w:w="2066"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8.94</w:t>
            </w:r>
          </w:p>
        </w:tc>
      </w:tr>
      <w:tr w:rsidTr="000D159C">
        <w:tblPrEx>
          <w:tblW w:w="11224" w:type="dxa"/>
          <w:tblInd w:w="-900" w:type="dxa"/>
          <w:tblLook w:val="04A0"/>
        </w:tblPrEx>
        <w:trPr>
          <w:trHeight w:val="394"/>
        </w:trPr>
        <w:tc>
          <w:tcPr>
            <w:tcW w:w="2651" w:type="dxa"/>
            <w:tcBorders>
              <w:top w:val="nil"/>
              <w:left w:val="single" w:sz="4" w:space="0" w:color="auto"/>
              <w:bottom w:val="single" w:sz="4" w:space="0" w:color="auto"/>
              <w:right w:val="single" w:sz="4" w:space="0" w:color="auto"/>
            </w:tcBorders>
            <w:shd w:val="clear" w:color="auto" w:fill="auto"/>
            <w:vAlign w:val="center"/>
            <w:hideMark/>
          </w:tcPr>
          <w:p w:rsidR="000D159C" w:rsidRPr="000D159C" w:rsidP="000D159C">
            <w:pPr>
              <w:spacing w:after="0" w:line="240" w:lineRule="auto"/>
              <w:jc w:val="right"/>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2018</w:t>
            </w:r>
          </w:p>
        </w:tc>
        <w:tc>
          <w:tcPr>
            <w:tcW w:w="1267" w:type="dxa"/>
            <w:tcBorders>
              <w:top w:val="nil"/>
              <w:left w:val="nil"/>
              <w:bottom w:val="single" w:sz="4" w:space="0" w:color="auto"/>
              <w:right w:val="single" w:sz="4" w:space="0" w:color="auto"/>
            </w:tcBorders>
            <w:shd w:val="clear" w:color="auto" w:fill="auto"/>
            <w:noWrap/>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7.98</w:t>
            </w:r>
          </w:p>
        </w:tc>
        <w:tc>
          <w:tcPr>
            <w:tcW w:w="900"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5.17</w:t>
            </w:r>
          </w:p>
        </w:tc>
        <w:tc>
          <w:tcPr>
            <w:tcW w:w="2011"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3.93</w:t>
            </w:r>
          </w:p>
        </w:tc>
        <w:tc>
          <w:tcPr>
            <w:tcW w:w="2329"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2.61</w:t>
            </w:r>
          </w:p>
        </w:tc>
        <w:tc>
          <w:tcPr>
            <w:tcW w:w="2066"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9.49</w:t>
            </w:r>
          </w:p>
        </w:tc>
      </w:tr>
      <w:tr w:rsidTr="000D159C">
        <w:tblPrEx>
          <w:tblW w:w="11224" w:type="dxa"/>
          <w:tblInd w:w="-900" w:type="dxa"/>
          <w:tblLook w:val="04A0"/>
        </w:tblPrEx>
        <w:trPr>
          <w:trHeight w:val="394"/>
        </w:trPr>
        <w:tc>
          <w:tcPr>
            <w:tcW w:w="2651" w:type="dxa"/>
            <w:tcBorders>
              <w:top w:val="nil"/>
              <w:left w:val="single" w:sz="4" w:space="0" w:color="auto"/>
              <w:bottom w:val="single" w:sz="4" w:space="0" w:color="auto"/>
              <w:right w:val="single" w:sz="4" w:space="0" w:color="auto"/>
            </w:tcBorders>
            <w:shd w:val="clear" w:color="auto" w:fill="auto"/>
            <w:vAlign w:val="center"/>
            <w:hideMark/>
          </w:tcPr>
          <w:p w:rsidR="000D159C" w:rsidRPr="000D159C" w:rsidP="000D159C">
            <w:pPr>
              <w:spacing w:after="0" w:line="240" w:lineRule="auto"/>
              <w:jc w:val="right"/>
              <w:rPr>
                <w:rFonts w:ascii="Times New Roman" w:eastAsia="Times New Roman" w:hAnsi="Times New Roman" w:cs="Times New Roman"/>
                <w:b/>
                <w:bCs/>
                <w:color w:val="000000"/>
                <w:sz w:val="24"/>
                <w:szCs w:val="24"/>
              </w:rPr>
            </w:pPr>
            <w:r w:rsidRPr="000D159C">
              <w:rPr>
                <w:rFonts w:ascii="Times New Roman" w:eastAsia="Times New Roman" w:hAnsi="Times New Roman" w:cs="Times New Roman"/>
                <w:b/>
                <w:bCs/>
                <w:color w:val="000000"/>
                <w:sz w:val="24"/>
                <w:szCs w:val="24"/>
              </w:rPr>
              <w:t>2019</w:t>
            </w:r>
          </w:p>
        </w:tc>
        <w:tc>
          <w:tcPr>
            <w:tcW w:w="1267"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8.04</w:t>
            </w:r>
          </w:p>
        </w:tc>
        <w:tc>
          <w:tcPr>
            <w:tcW w:w="900"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5.7</w:t>
            </w:r>
          </w:p>
        </w:tc>
        <w:tc>
          <w:tcPr>
            <w:tcW w:w="2011"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3.95</w:t>
            </w:r>
          </w:p>
        </w:tc>
        <w:tc>
          <w:tcPr>
            <w:tcW w:w="2329"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2.68</w:t>
            </w:r>
          </w:p>
        </w:tc>
        <w:tc>
          <w:tcPr>
            <w:tcW w:w="2066" w:type="dxa"/>
            <w:tcBorders>
              <w:top w:val="nil"/>
              <w:left w:val="nil"/>
              <w:bottom w:val="single" w:sz="4" w:space="0" w:color="auto"/>
              <w:right w:val="single" w:sz="4" w:space="0" w:color="auto"/>
            </w:tcBorders>
            <w:shd w:val="clear" w:color="auto" w:fill="auto"/>
            <w:hideMark/>
          </w:tcPr>
          <w:p w:rsidR="000D159C" w:rsidRPr="000D159C" w:rsidP="000D159C">
            <w:pPr>
              <w:spacing w:after="0" w:line="240" w:lineRule="auto"/>
              <w:rPr>
                <w:rFonts w:ascii="Times New Roman" w:eastAsia="Times New Roman" w:hAnsi="Times New Roman" w:cs="Times New Roman"/>
                <w:color w:val="000000"/>
                <w:sz w:val="24"/>
                <w:szCs w:val="24"/>
              </w:rPr>
            </w:pPr>
            <w:r w:rsidRPr="000D159C">
              <w:rPr>
                <w:rFonts w:ascii="Times New Roman" w:eastAsia="Times New Roman" w:hAnsi="Times New Roman" w:cs="Times New Roman"/>
                <w:color w:val="000000"/>
                <w:sz w:val="24"/>
                <w:szCs w:val="24"/>
              </w:rPr>
              <w:t>9.92</w:t>
            </w:r>
          </w:p>
        </w:tc>
      </w:tr>
    </w:tbl>
    <w:p w:rsidR="000D159C" w:rsidRPr="001239F0" w:rsidP="003B7EBB">
      <w:pPr>
        <w:spacing w:line="480" w:lineRule="auto"/>
        <w:rPr>
          <w:rFonts w:ascii="Times New Roman" w:hAnsi="Times New Roman" w:cs="Times New Roman"/>
          <w:sz w:val="24"/>
          <w:szCs w:val="24"/>
        </w:rPr>
      </w:pPr>
    </w:p>
    <w:sectPr w:rsidSect="0002699F">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15984117"/>
      <w:docPartObj>
        <w:docPartGallery w:val="Page Numbers (Top of Page)"/>
        <w:docPartUnique/>
      </w:docPartObj>
    </w:sdtPr>
    <w:sdtEndPr>
      <w:rPr>
        <w:noProof/>
      </w:rPr>
    </w:sdtEndPr>
    <w:sdtContent>
      <w:p w:rsidR="00C65A08" w:rsidRPr="00C65A08">
        <w:pPr>
          <w:pStyle w:val="Header"/>
          <w:jc w:val="right"/>
          <w:rPr>
            <w:rFonts w:ascii="Times New Roman" w:hAnsi="Times New Roman" w:cs="Times New Roman"/>
            <w:sz w:val="24"/>
            <w:szCs w:val="24"/>
          </w:rPr>
        </w:pPr>
        <w:r w:rsidRPr="00C65A08">
          <w:rPr>
            <w:rFonts w:ascii="Times New Roman" w:hAnsi="Times New Roman" w:cs="Times New Roman"/>
            <w:sz w:val="24"/>
            <w:szCs w:val="24"/>
          </w:rPr>
          <w:t xml:space="preserve">ANALYSIS </w:t>
        </w:r>
        <w:r>
          <w:rPr>
            <w:rFonts w:ascii="Times New Roman" w:hAnsi="Times New Roman" w:cs="Times New Roman"/>
            <w:sz w:val="24"/>
            <w:szCs w:val="24"/>
          </w:rPr>
          <w:t xml:space="preserve">                                                                                                                                     </w:t>
        </w:r>
        <w:r w:rsidRPr="00C65A08">
          <w:rPr>
            <w:rFonts w:ascii="Times New Roman" w:hAnsi="Times New Roman" w:cs="Times New Roman"/>
            <w:sz w:val="24"/>
            <w:szCs w:val="24"/>
          </w:rPr>
          <w:fldChar w:fldCharType="begin"/>
        </w:r>
        <w:r w:rsidRPr="00C65A08">
          <w:rPr>
            <w:rFonts w:ascii="Times New Roman" w:hAnsi="Times New Roman" w:cs="Times New Roman"/>
            <w:sz w:val="24"/>
            <w:szCs w:val="24"/>
          </w:rPr>
          <w:instrText xml:space="preserve"> PAGE   \* MERGEFORMAT </w:instrText>
        </w:r>
        <w:r w:rsidRPr="00C65A08">
          <w:rPr>
            <w:rFonts w:ascii="Times New Roman" w:hAnsi="Times New Roman" w:cs="Times New Roman"/>
            <w:sz w:val="24"/>
            <w:szCs w:val="24"/>
          </w:rPr>
          <w:fldChar w:fldCharType="separate"/>
        </w:r>
        <w:r w:rsidR="00FA7DED">
          <w:rPr>
            <w:rFonts w:ascii="Times New Roman" w:hAnsi="Times New Roman" w:cs="Times New Roman"/>
            <w:noProof/>
            <w:sz w:val="24"/>
            <w:szCs w:val="24"/>
          </w:rPr>
          <w:t>12</w:t>
        </w:r>
        <w:r w:rsidRPr="00C65A08">
          <w:rPr>
            <w:rFonts w:ascii="Times New Roman" w:hAnsi="Times New Roman" w:cs="Times New Roman"/>
            <w:noProof/>
            <w:sz w:val="24"/>
            <w:szCs w:val="24"/>
          </w:rPr>
          <w:fldChar w:fldCharType="end"/>
        </w:r>
      </w:p>
    </w:sdtContent>
  </w:sdt>
  <w:p w:rsidR="0012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48444142"/>
      <w:docPartObj>
        <w:docPartGallery w:val="Page Numbers (Top of Page)"/>
        <w:docPartUnique/>
      </w:docPartObj>
    </w:sdtPr>
    <w:sdtEndPr>
      <w:rPr>
        <w:noProof/>
      </w:rPr>
    </w:sdtEndPr>
    <w:sdtContent>
      <w:p w:rsidR="001239F0" w:rsidRPr="0002699F">
        <w:pPr>
          <w:pStyle w:val="Header"/>
          <w:jc w:val="right"/>
          <w:rPr>
            <w:rFonts w:ascii="Times New Roman" w:hAnsi="Times New Roman" w:cs="Times New Roman"/>
            <w:sz w:val="24"/>
            <w:szCs w:val="24"/>
          </w:rPr>
        </w:pPr>
        <w:r w:rsidRPr="0002699F">
          <w:rPr>
            <w:rFonts w:ascii="Times New Roman" w:hAnsi="Times New Roman" w:cs="Times New Roman"/>
            <w:sz w:val="24"/>
            <w:szCs w:val="24"/>
          </w:rPr>
          <w:t>Running head: ANALYSIS.</w:t>
        </w:r>
        <w:r w:rsidRPr="0002699F">
          <w:rPr>
            <w:rFonts w:ascii="Times New Roman" w:hAnsi="Times New Roman" w:cs="Times New Roman"/>
            <w:sz w:val="24"/>
            <w:szCs w:val="24"/>
          </w:rPr>
          <w:tab/>
        </w:r>
        <w:r w:rsidRPr="0002699F">
          <w:rPr>
            <w:rFonts w:ascii="Times New Roman" w:hAnsi="Times New Roman" w:cs="Times New Roman"/>
            <w:sz w:val="24"/>
            <w:szCs w:val="24"/>
          </w:rPr>
          <w:tab/>
        </w:r>
        <w:r w:rsidRPr="0002699F">
          <w:rPr>
            <w:rFonts w:ascii="Times New Roman" w:hAnsi="Times New Roman" w:cs="Times New Roman"/>
            <w:sz w:val="24"/>
            <w:szCs w:val="24"/>
          </w:rPr>
          <w:fldChar w:fldCharType="begin"/>
        </w:r>
        <w:r w:rsidRPr="0002699F">
          <w:rPr>
            <w:rFonts w:ascii="Times New Roman" w:hAnsi="Times New Roman" w:cs="Times New Roman"/>
            <w:sz w:val="24"/>
            <w:szCs w:val="24"/>
          </w:rPr>
          <w:instrText xml:space="preserve"> PAGE   \* MERGEFORMAT </w:instrText>
        </w:r>
        <w:r w:rsidRPr="0002699F">
          <w:rPr>
            <w:rFonts w:ascii="Times New Roman" w:hAnsi="Times New Roman" w:cs="Times New Roman"/>
            <w:sz w:val="24"/>
            <w:szCs w:val="24"/>
          </w:rPr>
          <w:fldChar w:fldCharType="separate"/>
        </w:r>
        <w:r w:rsidR="00FA7DED">
          <w:rPr>
            <w:rFonts w:ascii="Times New Roman" w:hAnsi="Times New Roman" w:cs="Times New Roman"/>
            <w:noProof/>
            <w:sz w:val="24"/>
            <w:szCs w:val="24"/>
          </w:rPr>
          <w:t>5</w:t>
        </w:r>
        <w:r w:rsidRPr="0002699F">
          <w:rPr>
            <w:rFonts w:ascii="Times New Roman" w:hAnsi="Times New Roman" w:cs="Times New Roman"/>
            <w:noProof/>
            <w:sz w:val="24"/>
            <w:szCs w:val="24"/>
          </w:rPr>
          <w:fldChar w:fldCharType="end"/>
        </w:r>
      </w:p>
    </w:sdtContent>
  </w:sdt>
  <w:p w:rsidR="001239F0" w:rsidRPr="0002699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B8"/>
    <w:rsid w:val="0002699F"/>
    <w:rsid w:val="00085E93"/>
    <w:rsid w:val="000B5496"/>
    <w:rsid w:val="000C59F0"/>
    <w:rsid w:val="000D159C"/>
    <w:rsid w:val="001239F0"/>
    <w:rsid w:val="001436DA"/>
    <w:rsid w:val="001E17B8"/>
    <w:rsid w:val="001E720D"/>
    <w:rsid w:val="001F14D5"/>
    <w:rsid w:val="001F627B"/>
    <w:rsid w:val="002B5325"/>
    <w:rsid w:val="002D249D"/>
    <w:rsid w:val="00337B4C"/>
    <w:rsid w:val="003B7EBB"/>
    <w:rsid w:val="00487358"/>
    <w:rsid w:val="00512343"/>
    <w:rsid w:val="00544FB6"/>
    <w:rsid w:val="005804DF"/>
    <w:rsid w:val="005C3A35"/>
    <w:rsid w:val="005F0EC6"/>
    <w:rsid w:val="005F4C63"/>
    <w:rsid w:val="006948A8"/>
    <w:rsid w:val="006D71C7"/>
    <w:rsid w:val="00774E37"/>
    <w:rsid w:val="007847A8"/>
    <w:rsid w:val="007B4D0E"/>
    <w:rsid w:val="00827786"/>
    <w:rsid w:val="00876BB1"/>
    <w:rsid w:val="009472E8"/>
    <w:rsid w:val="009A148C"/>
    <w:rsid w:val="009C2765"/>
    <w:rsid w:val="009E2356"/>
    <w:rsid w:val="00B96D55"/>
    <w:rsid w:val="00BA5B39"/>
    <w:rsid w:val="00BB1D04"/>
    <w:rsid w:val="00BE2E8A"/>
    <w:rsid w:val="00C15EBA"/>
    <w:rsid w:val="00C33BCE"/>
    <w:rsid w:val="00C35AB5"/>
    <w:rsid w:val="00C61690"/>
    <w:rsid w:val="00C65A08"/>
    <w:rsid w:val="00C66FCA"/>
    <w:rsid w:val="00C74D40"/>
    <w:rsid w:val="00C867F5"/>
    <w:rsid w:val="00CD381F"/>
    <w:rsid w:val="00CE241D"/>
    <w:rsid w:val="00D15C1F"/>
    <w:rsid w:val="00D425D5"/>
    <w:rsid w:val="00ED7D71"/>
    <w:rsid w:val="00F0730B"/>
    <w:rsid w:val="00F21126"/>
    <w:rsid w:val="00F76A7E"/>
    <w:rsid w:val="00FA7DED"/>
    <w:rsid w:val="00FF6677"/>
  </w:rsids>
  <w:docVars>
    <w:docVar w:name="__Grammarly_42___1" w:val="H4sIAAAAAAAEAKtWcslP9kxRslIyNDYyNbMwsLQ0MDe0NDQ2szRS0lEKTi0uzszPAykwrAUAl2kPQ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765"/>
    <w:rPr>
      <w:rFonts w:ascii="Tahoma" w:hAnsi="Tahoma" w:cs="Tahoma"/>
      <w:sz w:val="16"/>
      <w:szCs w:val="16"/>
    </w:rPr>
  </w:style>
  <w:style w:type="character" w:styleId="Emphasis">
    <w:name w:val="Emphasis"/>
    <w:basedOn w:val="DefaultParagraphFont"/>
    <w:uiPriority w:val="20"/>
    <w:qFormat/>
    <w:rsid w:val="003B7EBB"/>
    <w:rPr>
      <w:i/>
      <w:iCs/>
    </w:rPr>
  </w:style>
  <w:style w:type="paragraph" w:styleId="NormalWeb">
    <w:name w:val="Normal (Web)"/>
    <w:basedOn w:val="Normal"/>
    <w:uiPriority w:val="99"/>
    <w:semiHidden/>
    <w:unhideWhenUsed/>
    <w:rsid w:val="001239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3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9F0"/>
  </w:style>
  <w:style w:type="paragraph" w:styleId="Footer">
    <w:name w:val="footer"/>
    <w:basedOn w:val="Normal"/>
    <w:link w:val="FooterChar"/>
    <w:uiPriority w:val="99"/>
    <w:unhideWhenUsed/>
    <w:rsid w:val="00123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F0"/>
  </w:style>
  <w:style w:type="character" w:styleId="Hyperlink">
    <w:name w:val="Hyperlink"/>
    <w:basedOn w:val="DefaultParagraphFont"/>
    <w:uiPriority w:val="99"/>
    <w:unhideWhenUsed/>
    <w:rsid w:val="00B96D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image" Target="media/image1.png" /><Relationship Id="rId7" Type="http://schemas.openxmlformats.org/officeDocument/2006/relationships/hyperlink" Target="https://investors.pfizer.com/financials/annual-reports/default.aspx"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2</cp:revision>
  <dcterms:created xsi:type="dcterms:W3CDTF">2021-02-25T01:07:00Z</dcterms:created>
  <dcterms:modified xsi:type="dcterms:W3CDTF">2021-02-25T01:07:00Z</dcterms:modified>
</cp:coreProperties>
</file>